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90A9" w14:textId="77777777" w:rsidR="00A20D0D" w:rsidRPr="00E56FC4" w:rsidRDefault="00A20D0D" w:rsidP="00A20D0D">
      <w:pPr>
        <w:spacing w:after="0"/>
        <w:rPr>
          <w:b/>
          <w:bCs/>
          <w:sz w:val="32"/>
          <w:szCs w:val="32"/>
          <w:lang w:eastAsia="hr-HR"/>
        </w:rPr>
      </w:pPr>
      <w:r>
        <w:rPr>
          <w:b/>
          <w:bCs/>
          <w:sz w:val="32"/>
          <w:szCs w:val="32"/>
          <w:lang w:eastAsia="hr-HR"/>
        </w:rPr>
        <w:t>BILJEŠKE UZ FINANCIJSKE IZVJEŠTAJE za 2023. godinu</w:t>
      </w:r>
    </w:p>
    <w:p w14:paraId="2AADF06F" w14:textId="77777777" w:rsidR="00A20D0D" w:rsidRDefault="00A20D0D" w:rsidP="00221409">
      <w:pPr>
        <w:spacing w:after="0"/>
        <w:rPr>
          <w:b/>
          <w:bCs/>
          <w:lang w:eastAsia="hr-HR"/>
        </w:rPr>
      </w:pPr>
    </w:p>
    <w:p w14:paraId="5CE346FA" w14:textId="38FF06A0" w:rsidR="00221409" w:rsidRPr="00112C8E" w:rsidRDefault="00221409" w:rsidP="00221409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 xml:space="preserve">JAVNA USTANOVA ZAVOD ZA PROSTORNO </w:t>
      </w:r>
    </w:p>
    <w:p w14:paraId="016CD4B1" w14:textId="7888AD40" w:rsidR="00221409" w:rsidRDefault="00221409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>UREĐENJE GRADA SPLITA</w:t>
      </w:r>
    </w:p>
    <w:p w14:paraId="03CBDF08" w14:textId="77777777" w:rsidR="005213E5" w:rsidRPr="00112C8E" w:rsidRDefault="005213E5" w:rsidP="006803B3">
      <w:pPr>
        <w:spacing w:after="0"/>
        <w:rPr>
          <w:b/>
          <w:bCs/>
          <w:lang w:eastAsia="hr-HR"/>
        </w:rPr>
      </w:pPr>
    </w:p>
    <w:p w14:paraId="728B7FF5" w14:textId="6E366F3C" w:rsidR="008A6FDA" w:rsidRPr="00112C8E" w:rsidRDefault="008A6FDA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>Broj RKP-a: 47455</w:t>
      </w:r>
    </w:p>
    <w:p w14:paraId="3ABF94C0" w14:textId="193376AC" w:rsidR="008A6FDA" w:rsidRPr="00112C8E" w:rsidRDefault="008A6FDA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>Sjedište obveznika : Split</w:t>
      </w:r>
    </w:p>
    <w:p w14:paraId="01ACB2C4" w14:textId="723F26A6" w:rsidR="008A6FDA" w:rsidRPr="00112C8E" w:rsidRDefault="008A6FDA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>Matični broj:</w:t>
      </w:r>
      <w:r w:rsidR="00825CB4" w:rsidRPr="00112C8E">
        <w:rPr>
          <w:b/>
          <w:bCs/>
          <w:lang w:eastAsia="hr-HR"/>
        </w:rPr>
        <w:t>02833417</w:t>
      </w:r>
    </w:p>
    <w:p w14:paraId="3A7C389C" w14:textId="2C5BEE3A" w:rsidR="00221409" w:rsidRPr="00112C8E" w:rsidRDefault="008A6FDA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>Adresa sjedišta: Trg G. Bulata 6</w:t>
      </w:r>
    </w:p>
    <w:p w14:paraId="3A519144" w14:textId="6F7FD67F" w:rsidR="00221409" w:rsidRPr="00112C8E" w:rsidRDefault="00221409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 xml:space="preserve">OIB: </w:t>
      </w:r>
      <w:r w:rsidR="0050450E" w:rsidRPr="00112C8E">
        <w:rPr>
          <w:b/>
          <w:bCs/>
          <w:lang w:eastAsia="hr-HR"/>
        </w:rPr>
        <w:t>99010623662</w:t>
      </w:r>
    </w:p>
    <w:p w14:paraId="285703E7" w14:textId="25101044" w:rsidR="008E32B7" w:rsidRPr="00112C8E" w:rsidRDefault="008E32B7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>Razina : 21</w:t>
      </w:r>
    </w:p>
    <w:p w14:paraId="3FB722B7" w14:textId="662CAD84" w:rsidR="008E32B7" w:rsidRPr="00112C8E" w:rsidRDefault="008E32B7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 xml:space="preserve">Šifra </w:t>
      </w:r>
      <w:proofErr w:type="spellStart"/>
      <w:r w:rsidRPr="00112C8E">
        <w:rPr>
          <w:b/>
          <w:bCs/>
          <w:lang w:eastAsia="hr-HR"/>
        </w:rPr>
        <w:t>djelatnosi</w:t>
      </w:r>
      <w:proofErr w:type="spellEnd"/>
      <w:r w:rsidRPr="00112C8E">
        <w:rPr>
          <w:b/>
          <w:bCs/>
          <w:lang w:eastAsia="hr-HR"/>
        </w:rPr>
        <w:t>: prema NDK-u: 7111</w:t>
      </w:r>
    </w:p>
    <w:p w14:paraId="17595CAB" w14:textId="179AD00D" w:rsidR="008E32B7" w:rsidRPr="00112C8E" w:rsidRDefault="008E32B7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>Šifra županije : 17</w:t>
      </w:r>
    </w:p>
    <w:p w14:paraId="1FA6BA05" w14:textId="729B4A55" w:rsidR="008E32B7" w:rsidRPr="00112C8E" w:rsidRDefault="008E32B7" w:rsidP="006803B3">
      <w:pPr>
        <w:spacing w:after="0"/>
        <w:rPr>
          <w:b/>
          <w:bCs/>
          <w:lang w:eastAsia="hr-HR"/>
        </w:rPr>
      </w:pPr>
      <w:r w:rsidRPr="00112C8E">
        <w:rPr>
          <w:b/>
          <w:bCs/>
          <w:lang w:eastAsia="hr-HR"/>
        </w:rPr>
        <w:t>Šifra općine: 409</w:t>
      </w:r>
    </w:p>
    <w:p w14:paraId="4B5BA1A1" w14:textId="77777777" w:rsidR="00E56FC4" w:rsidRDefault="00E56FC4" w:rsidP="006803B3">
      <w:pPr>
        <w:spacing w:after="0"/>
        <w:rPr>
          <w:lang w:eastAsia="hr-HR"/>
        </w:rPr>
      </w:pPr>
    </w:p>
    <w:p w14:paraId="71946157" w14:textId="77777777" w:rsidR="0053069F" w:rsidRDefault="008777F9">
      <w:pPr>
        <w:pStyle w:val="Heading2"/>
      </w:pPr>
      <w:bookmarkStart w:id="0" w:name="_Toc943780"/>
      <w:bookmarkStart w:id="1" w:name="_Toc495932297"/>
      <w:bookmarkStart w:id="2" w:name="_Toc495930800"/>
      <w:r>
        <w:t>Uvod</w:t>
      </w:r>
      <w:bookmarkEnd w:id="0"/>
      <w:bookmarkEnd w:id="1"/>
      <w:bookmarkEnd w:id="2"/>
    </w:p>
    <w:p w14:paraId="646732E0" w14:textId="77777777" w:rsidR="0053069F" w:rsidRDefault="0053069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617A758" w14:textId="77777777" w:rsidR="0053069F" w:rsidRDefault="00530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347BD15B" w14:textId="5346CA5E" w:rsidR="0053069F" w:rsidRDefault="008777F9">
      <w:pPr>
        <w:jc w:val="both"/>
      </w:pPr>
      <w:r>
        <w:t>Osnovna svrha godišnjeg financijskog izvještaja jest dati informacije o financijskom položaju i uspješnosti ispunjenja postavljenih ciljeva (poslovanja) proračunskog korisnika. Sukladno Pravilniku o financijskom izvještavanju u proračunskom računovodstvu</w:t>
      </w:r>
      <w:r w:rsidR="008E32B7">
        <w:t xml:space="preserve"> (Nar.nov.,br.37/22)</w:t>
      </w:r>
      <w:r>
        <w:t xml:space="preserve">, </w:t>
      </w:r>
      <w:r w:rsidR="00E92410">
        <w:t>JAVN</w:t>
      </w:r>
      <w:r w:rsidR="008E32B7">
        <w:t>A</w:t>
      </w:r>
      <w:r w:rsidR="00E92410">
        <w:t xml:space="preserve"> USTANOV</w:t>
      </w:r>
      <w:r w:rsidR="008E32B7">
        <w:t>A</w:t>
      </w:r>
      <w:r w:rsidR="00E92410">
        <w:t xml:space="preserve"> ZAVODA ZA PROSTORNO UREĐENJE GRADA SPLITA</w:t>
      </w:r>
      <w:r>
        <w:t xml:space="preserve"> kao proračunski korisnik je u obvezi izraditi godišnji financijski izvještaj od </w:t>
      </w:r>
      <w:r w:rsidR="002E1E56">
        <w:t>0</w:t>
      </w:r>
      <w:r w:rsidR="00730CFF">
        <w:t>1. siječnja do 31. prosinca 202</w:t>
      </w:r>
      <w:r w:rsidR="006803B3">
        <w:t>3</w:t>
      </w:r>
      <w:r>
        <w:t xml:space="preserve">. godine koji se sastoji od: </w:t>
      </w:r>
    </w:p>
    <w:p w14:paraId="0D1B699A" w14:textId="77777777" w:rsidR="0053069F" w:rsidRDefault="008777F9">
      <w:pPr>
        <w:pStyle w:val="ListParagraph"/>
        <w:numPr>
          <w:ilvl w:val="0"/>
          <w:numId w:val="4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Bilanca na Obrascu: BIL</w:t>
      </w:r>
    </w:p>
    <w:p w14:paraId="6FAEEEBE" w14:textId="77777777" w:rsidR="0053069F" w:rsidRDefault="008777F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Izvještaj o prihodima i rashodima, primicima i izdacima na Obrascu: PR-RAS</w:t>
      </w:r>
    </w:p>
    <w:p w14:paraId="2509D8E6" w14:textId="77777777" w:rsidR="0053069F" w:rsidRDefault="008777F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Izvještaj o promjenama u vrijednosti i obujmu imovine i obveza na Obrascu: P-VRIO</w:t>
      </w:r>
    </w:p>
    <w:p w14:paraId="05D2BC5C" w14:textId="77777777" w:rsidR="0053069F" w:rsidRDefault="008777F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Izvještaj o rashodima prema funkcijskoj klasifikaciji na Obrascu: RAS-funkcijski</w:t>
      </w:r>
    </w:p>
    <w:p w14:paraId="0090CFDF" w14:textId="77777777" w:rsidR="0053069F" w:rsidRDefault="008777F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Izvještaj o obvezama na obrascu: Obveze</w:t>
      </w:r>
    </w:p>
    <w:p w14:paraId="4E834533" w14:textId="799BE4A9" w:rsidR="0053069F" w:rsidRDefault="008777F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Bilješke</w:t>
      </w:r>
      <w:r w:rsidR="00730CFF">
        <w:rPr>
          <w:rFonts w:asciiTheme="minorHAnsi" w:hAnsiTheme="minorHAnsi"/>
          <w:b w:val="0"/>
          <w:sz w:val="24"/>
        </w:rPr>
        <w:t xml:space="preserve"> uz financijsko izvješće za 202</w:t>
      </w:r>
      <w:r w:rsidR="006803B3">
        <w:rPr>
          <w:rFonts w:asciiTheme="minorHAnsi" w:hAnsiTheme="minorHAnsi"/>
          <w:b w:val="0"/>
          <w:sz w:val="24"/>
        </w:rPr>
        <w:t>3</w:t>
      </w:r>
      <w:r>
        <w:rPr>
          <w:rFonts w:asciiTheme="minorHAnsi" w:hAnsiTheme="minorHAnsi"/>
          <w:b w:val="0"/>
          <w:sz w:val="24"/>
        </w:rPr>
        <w:t>. godinu</w:t>
      </w:r>
    </w:p>
    <w:p w14:paraId="1D028F4C" w14:textId="77777777" w:rsidR="0053069F" w:rsidRDefault="008777F9">
      <w:pPr>
        <w:jc w:val="both"/>
        <w:rPr>
          <w:sz w:val="24"/>
        </w:rPr>
      </w:pPr>
      <w:r>
        <w:rPr>
          <w:sz w:val="24"/>
        </w:rPr>
        <w:t xml:space="preserve">Bilješke su dopuna podataka uz financijske izvještaje. Mogu biti opisne, brojčane ili kombinirane. Označavaju se rednim brojevima s pozivom na </w:t>
      </w:r>
      <w:r w:rsidR="00146DA5">
        <w:rPr>
          <w:sz w:val="24"/>
        </w:rPr>
        <w:t>šifru u  izvještaju</w:t>
      </w:r>
      <w:r>
        <w:rPr>
          <w:sz w:val="24"/>
        </w:rPr>
        <w:t xml:space="preserve"> na koju se odnose.</w:t>
      </w:r>
    </w:p>
    <w:p w14:paraId="0640066B" w14:textId="7F0F8EDE" w:rsidR="0053069F" w:rsidRDefault="008777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Izvještaj se najkasnije do 31. siječnja tekuće godine predaje  </w:t>
      </w:r>
      <w:r w:rsidR="00146DA5">
        <w:rPr>
          <w:rFonts w:eastAsia="Times New Roman" w:cs="Times New Roman"/>
          <w:sz w:val="24"/>
          <w:szCs w:val="24"/>
        </w:rPr>
        <w:t>putem aplikacije RKPFI nadležnom</w:t>
      </w:r>
      <w:r>
        <w:rPr>
          <w:rFonts w:eastAsia="Times New Roman" w:cs="Times New Roman"/>
          <w:sz w:val="24"/>
          <w:szCs w:val="24"/>
        </w:rPr>
        <w:t xml:space="preserve"> proračun</w:t>
      </w:r>
      <w:r w:rsidR="00FE4620">
        <w:rPr>
          <w:rFonts w:eastAsia="Times New Roman" w:cs="Times New Roman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 xml:space="preserve"> i državn</w:t>
      </w:r>
      <w:r w:rsidR="00146DA5">
        <w:rPr>
          <w:rFonts w:eastAsia="Times New Roman" w:cs="Times New Roman"/>
          <w:sz w:val="24"/>
          <w:szCs w:val="24"/>
        </w:rPr>
        <w:t>oj</w:t>
      </w:r>
      <w:r>
        <w:rPr>
          <w:rFonts w:eastAsia="Times New Roman" w:cs="Times New Roman"/>
          <w:sz w:val="24"/>
          <w:szCs w:val="24"/>
        </w:rPr>
        <w:t xml:space="preserve"> revizij</w:t>
      </w:r>
      <w:r w:rsidR="00146DA5">
        <w:rPr>
          <w:rFonts w:eastAsia="Times New Roman" w:cs="Times New Roman"/>
          <w:sz w:val="24"/>
          <w:szCs w:val="24"/>
        </w:rPr>
        <w:t>i</w:t>
      </w:r>
      <w:r>
        <w:rPr>
          <w:rFonts w:eastAsia="Times New Roman" w:cs="Times New Roman"/>
          <w:sz w:val="24"/>
          <w:szCs w:val="24"/>
        </w:rPr>
        <w:t>. U prilogu ovog obrazloženja su potvrde da je izvještaj predan na sve potrebne adrese.</w:t>
      </w:r>
      <w:r>
        <w:rPr>
          <w:rFonts w:eastAsia="Times New Roman" w:cs="Times New Roman"/>
          <w:bCs/>
          <w:iCs/>
          <w:sz w:val="24"/>
          <w:szCs w:val="24"/>
        </w:rPr>
        <w:t xml:space="preserve"> Konačno, kao rezul</w:t>
      </w:r>
      <w:r w:rsidR="00D950F0">
        <w:rPr>
          <w:rFonts w:eastAsia="Times New Roman" w:cs="Times New Roman"/>
          <w:bCs/>
          <w:iCs/>
          <w:sz w:val="24"/>
          <w:szCs w:val="24"/>
        </w:rPr>
        <w:t>tat poslovanja na dan 31.12.202</w:t>
      </w:r>
      <w:r w:rsidR="006803B3">
        <w:rPr>
          <w:rFonts w:eastAsia="Times New Roman" w:cs="Times New Roman"/>
          <w:bCs/>
          <w:iCs/>
          <w:sz w:val="24"/>
          <w:szCs w:val="24"/>
        </w:rPr>
        <w:t>3</w:t>
      </w:r>
      <w:r>
        <w:rPr>
          <w:rFonts w:eastAsia="Times New Roman" w:cs="Times New Roman"/>
          <w:bCs/>
          <w:iCs/>
          <w:sz w:val="24"/>
          <w:szCs w:val="24"/>
        </w:rPr>
        <w:t>. godine utvrđen je "</w:t>
      </w:r>
      <w:r w:rsidR="006803B3">
        <w:rPr>
          <w:rFonts w:eastAsia="Times New Roman" w:cs="Times New Roman"/>
          <w:bCs/>
          <w:iCs/>
          <w:sz w:val="24"/>
          <w:szCs w:val="24"/>
        </w:rPr>
        <w:t>manjak prihoda poslovanja</w:t>
      </w:r>
      <w:r>
        <w:rPr>
          <w:rFonts w:eastAsia="Times New Roman" w:cs="Times New Roman"/>
          <w:bCs/>
          <w:iCs/>
          <w:sz w:val="24"/>
          <w:szCs w:val="24"/>
        </w:rPr>
        <w:t xml:space="preserve">" u </w:t>
      </w:r>
      <w:r w:rsidRPr="009B533E">
        <w:rPr>
          <w:rFonts w:eastAsia="Times New Roman" w:cs="Times New Roman"/>
          <w:bCs/>
          <w:iCs/>
          <w:sz w:val="24"/>
          <w:szCs w:val="24"/>
        </w:rPr>
        <w:t xml:space="preserve">iznosu od  </w:t>
      </w:r>
      <w:r w:rsidR="00E92410">
        <w:rPr>
          <w:rFonts w:eastAsia="Times New Roman" w:cs="Times New Roman"/>
          <w:bCs/>
          <w:iCs/>
          <w:sz w:val="24"/>
          <w:szCs w:val="24"/>
        </w:rPr>
        <w:t>14.</w:t>
      </w:r>
      <w:r w:rsidR="001377B4">
        <w:rPr>
          <w:rFonts w:eastAsia="Times New Roman" w:cs="Times New Roman"/>
          <w:bCs/>
          <w:iCs/>
          <w:sz w:val="24"/>
          <w:szCs w:val="24"/>
        </w:rPr>
        <w:t>152</w:t>
      </w:r>
      <w:r w:rsidR="00E92410">
        <w:rPr>
          <w:rFonts w:eastAsia="Times New Roman" w:cs="Times New Roman"/>
          <w:bCs/>
          <w:iCs/>
          <w:sz w:val="24"/>
          <w:szCs w:val="24"/>
        </w:rPr>
        <w:t xml:space="preserve">,56 </w:t>
      </w:r>
      <w:r w:rsidR="006803B3">
        <w:rPr>
          <w:rFonts w:eastAsia="Times New Roman" w:cs="Times New Roman"/>
          <w:bCs/>
          <w:iCs/>
          <w:sz w:val="24"/>
          <w:szCs w:val="24"/>
        </w:rPr>
        <w:t>€</w:t>
      </w:r>
      <w:r w:rsidRPr="009B533E">
        <w:rPr>
          <w:rFonts w:eastAsia="Times New Roman" w:cs="Times New Roman"/>
          <w:bCs/>
          <w:iCs/>
          <w:sz w:val="24"/>
          <w:szCs w:val="24"/>
        </w:rPr>
        <w:t xml:space="preserve"> (</w:t>
      </w:r>
      <w:r w:rsidR="00FE4620" w:rsidRPr="009B533E">
        <w:rPr>
          <w:rFonts w:eastAsia="Times New Roman" w:cs="Times New Roman"/>
          <w:bCs/>
          <w:iCs/>
          <w:sz w:val="24"/>
          <w:szCs w:val="24"/>
        </w:rPr>
        <w:t>šifra Y005</w:t>
      </w:r>
      <w:r w:rsidRPr="009B533E">
        <w:rPr>
          <w:rFonts w:eastAsia="Times New Roman" w:cs="Times New Roman"/>
          <w:bCs/>
          <w:iCs/>
          <w:sz w:val="24"/>
          <w:szCs w:val="24"/>
        </w:rPr>
        <w:t xml:space="preserve">) korigiran prenesenim </w:t>
      </w:r>
      <w:r w:rsidR="00AB7BBF">
        <w:rPr>
          <w:rFonts w:eastAsia="Times New Roman" w:cs="Times New Roman"/>
          <w:bCs/>
          <w:iCs/>
          <w:sz w:val="24"/>
          <w:szCs w:val="24"/>
        </w:rPr>
        <w:t>manjkom prihoda</w:t>
      </w:r>
      <w:r w:rsidRPr="009B533E">
        <w:rPr>
          <w:rFonts w:eastAsia="Times New Roman" w:cs="Times New Roman"/>
          <w:bCs/>
          <w:iCs/>
          <w:sz w:val="24"/>
          <w:szCs w:val="24"/>
        </w:rPr>
        <w:t xml:space="preserve"> iz proteklih godina u iznosu od </w:t>
      </w:r>
      <w:r w:rsidR="00AB7BBF">
        <w:rPr>
          <w:rFonts w:eastAsia="Times New Roman" w:cs="Times New Roman"/>
          <w:bCs/>
          <w:iCs/>
          <w:sz w:val="24"/>
          <w:szCs w:val="24"/>
        </w:rPr>
        <w:t xml:space="preserve">152,11 </w:t>
      </w:r>
      <w:r w:rsidR="006803B3">
        <w:rPr>
          <w:rFonts w:eastAsia="Times New Roman" w:cs="Times New Roman"/>
          <w:bCs/>
          <w:iCs/>
          <w:sz w:val="24"/>
          <w:szCs w:val="24"/>
        </w:rPr>
        <w:t>€</w:t>
      </w:r>
      <w:r w:rsidRPr="009B533E">
        <w:rPr>
          <w:rFonts w:eastAsia="Times New Roman" w:cs="Times New Roman"/>
          <w:bCs/>
          <w:iCs/>
          <w:sz w:val="24"/>
          <w:szCs w:val="24"/>
        </w:rPr>
        <w:t xml:space="preserve"> (</w:t>
      </w:r>
      <w:r w:rsidR="00FE4620" w:rsidRPr="009B533E">
        <w:rPr>
          <w:rFonts w:eastAsia="Times New Roman" w:cs="Times New Roman"/>
          <w:bCs/>
          <w:iCs/>
          <w:sz w:val="24"/>
          <w:szCs w:val="24"/>
        </w:rPr>
        <w:t>šifra 9221-9222</w:t>
      </w:r>
      <w:r w:rsidRPr="009B533E">
        <w:rPr>
          <w:rFonts w:eastAsia="Times New Roman" w:cs="Times New Roman"/>
          <w:bCs/>
          <w:iCs/>
          <w:sz w:val="24"/>
          <w:szCs w:val="24"/>
        </w:rPr>
        <w:t>) da</w:t>
      </w:r>
      <w:r w:rsidR="006803B3">
        <w:rPr>
          <w:rFonts w:eastAsia="Times New Roman" w:cs="Times New Roman"/>
          <w:bCs/>
          <w:iCs/>
          <w:sz w:val="24"/>
          <w:szCs w:val="24"/>
        </w:rPr>
        <w:t>l</w:t>
      </w:r>
      <w:r w:rsidRPr="009B533E">
        <w:rPr>
          <w:rFonts w:eastAsia="Times New Roman" w:cs="Times New Roman"/>
          <w:bCs/>
          <w:iCs/>
          <w:sz w:val="24"/>
          <w:szCs w:val="24"/>
        </w:rPr>
        <w:t xml:space="preserve">je  </w:t>
      </w:r>
      <w:r w:rsidR="006803B3">
        <w:rPr>
          <w:rFonts w:eastAsia="Times New Roman" w:cs="Times New Roman"/>
          <w:bCs/>
          <w:iCs/>
          <w:sz w:val="24"/>
          <w:szCs w:val="24"/>
        </w:rPr>
        <w:t xml:space="preserve">višak </w:t>
      </w:r>
      <w:r w:rsidRPr="009B533E">
        <w:rPr>
          <w:rFonts w:eastAsia="Times New Roman" w:cs="Times New Roman"/>
          <w:bCs/>
          <w:iCs/>
          <w:sz w:val="24"/>
          <w:szCs w:val="24"/>
        </w:rPr>
        <w:t xml:space="preserve">prihoda i primitaka </w:t>
      </w:r>
      <w:r w:rsidR="00FE4620" w:rsidRPr="009B533E">
        <w:rPr>
          <w:rFonts w:eastAsia="Times New Roman" w:cs="Times New Roman"/>
          <w:bCs/>
          <w:iCs/>
          <w:sz w:val="24"/>
          <w:szCs w:val="24"/>
        </w:rPr>
        <w:t xml:space="preserve"> sljedećem </w:t>
      </w:r>
      <w:r w:rsidRPr="009B533E">
        <w:rPr>
          <w:rFonts w:eastAsia="Times New Roman" w:cs="Times New Roman"/>
          <w:bCs/>
          <w:iCs/>
          <w:sz w:val="24"/>
          <w:szCs w:val="24"/>
        </w:rPr>
        <w:t xml:space="preserve">razdoblju u iznosu od </w:t>
      </w:r>
      <w:r w:rsidR="00AB7BBF">
        <w:rPr>
          <w:rFonts w:eastAsia="Times New Roman" w:cs="Times New Roman"/>
          <w:bCs/>
          <w:iCs/>
          <w:sz w:val="24"/>
          <w:szCs w:val="24"/>
        </w:rPr>
        <w:t>14.3</w:t>
      </w:r>
      <w:r w:rsidR="001377B4">
        <w:rPr>
          <w:rFonts w:eastAsia="Times New Roman" w:cs="Times New Roman"/>
          <w:bCs/>
          <w:iCs/>
          <w:sz w:val="24"/>
          <w:szCs w:val="24"/>
        </w:rPr>
        <w:t>04</w:t>
      </w:r>
      <w:r w:rsidR="00AB7BBF">
        <w:rPr>
          <w:rFonts w:eastAsia="Times New Roman" w:cs="Times New Roman"/>
          <w:bCs/>
          <w:iCs/>
          <w:sz w:val="24"/>
          <w:szCs w:val="24"/>
        </w:rPr>
        <w:t xml:space="preserve">,67 </w:t>
      </w:r>
      <w:r w:rsidR="006803B3">
        <w:rPr>
          <w:rFonts w:eastAsia="Times New Roman" w:cs="Times New Roman"/>
          <w:bCs/>
          <w:iCs/>
          <w:sz w:val="24"/>
          <w:szCs w:val="24"/>
        </w:rPr>
        <w:t>€.</w:t>
      </w:r>
    </w:p>
    <w:p w14:paraId="6142E600" w14:textId="5ECA4101" w:rsidR="0053069F" w:rsidRDefault="008777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 xml:space="preserve">Pregled ostvarenih rezultata poslovanja </w:t>
      </w:r>
      <w:r w:rsidR="00AB7BBF">
        <w:rPr>
          <w:rFonts w:eastAsia="Times New Roman" w:cs="Times New Roman"/>
          <w:bCs/>
          <w:iCs/>
          <w:sz w:val="24"/>
          <w:szCs w:val="24"/>
        </w:rPr>
        <w:t>JAVNE USTANOVE ZAVODA ZA POSLOVNO UREĐENJE GRADA SPLITA</w:t>
      </w:r>
      <w:r>
        <w:rPr>
          <w:rFonts w:eastAsia="Times New Roman" w:cs="Times New Roman"/>
          <w:bCs/>
          <w:iCs/>
          <w:sz w:val="24"/>
          <w:szCs w:val="24"/>
        </w:rPr>
        <w:t xml:space="preserve"> za razdo</w:t>
      </w:r>
      <w:r w:rsidR="004D0E1A">
        <w:rPr>
          <w:rFonts w:eastAsia="Times New Roman" w:cs="Times New Roman"/>
          <w:bCs/>
          <w:iCs/>
          <w:sz w:val="24"/>
          <w:szCs w:val="24"/>
        </w:rPr>
        <w:t>b</w:t>
      </w:r>
      <w:r w:rsidR="00730CFF">
        <w:rPr>
          <w:rFonts w:eastAsia="Times New Roman" w:cs="Times New Roman"/>
          <w:bCs/>
          <w:iCs/>
          <w:sz w:val="24"/>
          <w:szCs w:val="24"/>
        </w:rPr>
        <w:t>lje od siječnja do prosinca 202</w:t>
      </w:r>
      <w:r w:rsidR="0095256F">
        <w:rPr>
          <w:rFonts w:eastAsia="Times New Roman" w:cs="Times New Roman"/>
          <w:bCs/>
          <w:iCs/>
          <w:sz w:val="24"/>
          <w:szCs w:val="24"/>
        </w:rPr>
        <w:t>3</w:t>
      </w:r>
      <w:r>
        <w:rPr>
          <w:rFonts w:eastAsia="Times New Roman" w:cs="Times New Roman"/>
          <w:bCs/>
          <w:iCs/>
          <w:sz w:val="24"/>
          <w:szCs w:val="24"/>
        </w:rPr>
        <w:t>. godine iskazan je u nastavku  Bilješki uz financijske izvještaje.</w:t>
      </w:r>
    </w:p>
    <w:p w14:paraId="33D54418" w14:textId="408296F3" w:rsidR="0053069F" w:rsidRDefault="008777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hr-HR"/>
        </w:rPr>
      </w:pPr>
      <w:r>
        <w:rPr>
          <w:rFonts w:ascii="Calibri" w:eastAsia="Times New Roman" w:hAnsi="Calibri" w:cs="Times New Roman"/>
          <w:sz w:val="24"/>
          <w:szCs w:val="20"/>
          <w:lang w:eastAsia="hr-HR"/>
        </w:rPr>
        <w:lastRenderedPageBreak/>
        <w:t>Financijski izvještaji Ustanove za razdoblje od siječnja do prosinca 20</w:t>
      </w:r>
      <w:r w:rsidR="00730CFF">
        <w:rPr>
          <w:rFonts w:ascii="Calibri" w:eastAsia="Times New Roman" w:hAnsi="Calibri" w:cs="Times New Roman"/>
          <w:sz w:val="24"/>
          <w:szCs w:val="20"/>
          <w:lang w:eastAsia="hr-HR"/>
        </w:rPr>
        <w:t>2</w:t>
      </w:r>
      <w:r w:rsidR="0095256F">
        <w:rPr>
          <w:rFonts w:ascii="Calibri" w:eastAsia="Times New Roman" w:hAnsi="Calibri" w:cs="Times New Roman"/>
          <w:sz w:val="24"/>
          <w:szCs w:val="20"/>
          <w:lang w:eastAsia="hr-HR"/>
        </w:rPr>
        <w:t>3</w:t>
      </w:r>
      <w:r>
        <w:rPr>
          <w:rFonts w:ascii="Calibri" w:eastAsia="Times New Roman" w:hAnsi="Calibri" w:cs="Times New Roman"/>
          <w:sz w:val="24"/>
          <w:szCs w:val="20"/>
          <w:lang w:eastAsia="hr-HR"/>
        </w:rPr>
        <w:t>. godine sačinjeni su sukladno odredbama Pravilnika o proračunskom računovodstvu i Računskom planu te Pravilnika o financijskom izvještavanju u proračunskom računovodstvu.</w:t>
      </w:r>
    </w:p>
    <w:p w14:paraId="17A22B95" w14:textId="77777777" w:rsidR="003B7415" w:rsidRDefault="003B741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14:paraId="436EA4F5" w14:textId="77777777" w:rsidR="003B7415" w:rsidRPr="003B7415" w:rsidRDefault="003B7415" w:rsidP="003B7415">
      <w:pPr>
        <w:pStyle w:val="Heading4"/>
        <w:ind w:left="0" w:firstLine="0"/>
        <w:rPr>
          <w:rFonts w:ascii="Calibri" w:hAnsi="Calibri"/>
          <w:b w:val="0"/>
          <w:i w:val="0"/>
          <w:iCs w:val="0"/>
          <w:sz w:val="24"/>
          <w:szCs w:val="20"/>
          <w:lang w:eastAsia="hr-HR"/>
        </w:rPr>
      </w:pPr>
      <w:r w:rsidRPr="003B7415">
        <w:rPr>
          <w:rFonts w:ascii="Calibri" w:hAnsi="Calibri"/>
          <w:b w:val="0"/>
          <w:i w:val="0"/>
          <w:iCs w:val="0"/>
          <w:sz w:val="24"/>
          <w:szCs w:val="20"/>
          <w:lang w:eastAsia="hr-HR"/>
        </w:rPr>
        <w:t>Poslovanje ustanove obavlja se putem žiro računa otvorenog kod:</w:t>
      </w:r>
    </w:p>
    <w:p w14:paraId="49C02E1F" w14:textId="0228EB30" w:rsidR="003B7415" w:rsidRDefault="0095256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hr-HR"/>
        </w:rPr>
      </w:pPr>
      <w:r>
        <w:rPr>
          <w:rFonts w:ascii="Calibri" w:eastAsia="Times New Roman" w:hAnsi="Calibri" w:cs="Times New Roman"/>
          <w:sz w:val="24"/>
          <w:szCs w:val="20"/>
          <w:lang w:eastAsia="hr-HR"/>
        </w:rPr>
        <w:t xml:space="preserve">OTP BANKA </w:t>
      </w:r>
    </w:p>
    <w:p w14:paraId="1EE77BF5" w14:textId="59B3BF43" w:rsidR="0095256F" w:rsidRDefault="0095256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hr-HR"/>
        </w:rPr>
      </w:pPr>
      <w:r>
        <w:rPr>
          <w:rFonts w:ascii="Calibri" w:eastAsia="Times New Roman" w:hAnsi="Calibri" w:cs="Times New Roman"/>
          <w:sz w:val="24"/>
          <w:szCs w:val="20"/>
          <w:lang w:eastAsia="hr-HR"/>
        </w:rPr>
        <w:t xml:space="preserve">IBAN : </w:t>
      </w:r>
      <w:r w:rsidR="00AB7BBF">
        <w:rPr>
          <w:rFonts w:ascii="Calibri" w:eastAsia="Times New Roman" w:hAnsi="Calibri" w:cs="Times New Roman"/>
          <w:sz w:val="24"/>
          <w:szCs w:val="20"/>
          <w:lang w:eastAsia="hr-HR"/>
        </w:rPr>
        <w:t>HR1224070001100287133</w:t>
      </w:r>
    </w:p>
    <w:p w14:paraId="6CB6468E" w14:textId="77777777" w:rsidR="0053069F" w:rsidRDefault="00530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 w:val="24"/>
          <w:szCs w:val="24"/>
        </w:rPr>
      </w:pPr>
    </w:p>
    <w:p w14:paraId="27BDB9FC" w14:textId="77777777" w:rsidR="0053069F" w:rsidRDefault="00530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 w:val="24"/>
          <w:szCs w:val="24"/>
        </w:rPr>
      </w:pPr>
    </w:p>
    <w:p w14:paraId="3494D0E3" w14:textId="77777777" w:rsidR="0053069F" w:rsidRDefault="00530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 w:val="24"/>
          <w:szCs w:val="24"/>
        </w:rPr>
      </w:pPr>
    </w:p>
    <w:p w14:paraId="4C1E7439" w14:textId="029BE25E" w:rsidR="0053069F" w:rsidRDefault="008777F9">
      <w:pPr>
        <w:pStyle w:val="Heading2"/>
      </w:pPr>
      <w:bookmarkStart w:id="3" w:name="_Toc943781"/>
      <w:bookmarkStart w:id="4" w:name="_Toc495932298"/>
      <w:bookmarkStart w:id="5" w:name="_Toc495930801"/>
      <w:r w:rsidRPr="00751B07">
        <w:t>Bilješke  uz  Izvještaj  o  prihodima  i  rashodima,</w:t>
      </w:r>
      <w:r>
        <w:t xml:space="preserve"> </w:t>
      </w:r>
      <w:r w:rsidRPr="00430DD2">
        <w:t>primicima  i  izdacima  za  razdoblj</w:t>
      </w:r>
      <w:r w:rsidR="004D0E1A" w:rsidRPr="00430DD2">
        <w:t>e 1. siječnja – 31.</w:t>
      </w:r>
      <w:r w:rsidR="004D0E1A">
        <w:t xml:space="preserve"> prosinca 202</w:t>
      </w:r>
      <w:r w:rsidR="0095256F">
        <w:t>3</w:t>
      </w:r>
      <w:r>
        <w:t>.  godine</w:t>
      </w:r>
      <w:bookmarkEnd w:id="3"/>
    </w:p>
    <w:bookmarkEnd w:id="4"/>
    <w:bookmarkEnd w:id="5"/>
    <w:p w14:paraId="475D8DCA" w14:textId="77777777" w:rsidR="0053069F" w:rsidRDefault="0053069F">
      <w:pPr>
        <w:pStyle w:val="Heading2"/>
        <w:numPr>
          <w:ilvl w:val="0"/>
          <w:numId w:val="0"/>
        </w:numPr>
        <w:ind w:left="1776"/>
      </w:pPr>
    </w:p>
    <w:p w14:paraId="6B156B7A" w14:textId="77777777" w:rsidR="0053069F" w:rsidRDefault="0053069F">
      <w:pPr>
        <w:rPr>
          <w:lang w:eastAsia="hr-HR"/>
        </w:rPr>
      </w:pPr>
    </w:p>
    <w:p w14:paraId="2FC91325" w14:textId="77777777" w:rsidR="0053069F" w:rsidRDefault="008777F9">
      <w:pPr>
        <w:pStyle w:val="Heading4"/>
      </w:pPr>
      <w:bookmarkStart w:id="6" w:name="_Toc943782"/>
      <w:r>
        <w:t>2.1. Prihodi poslovanja</w:t>
      </w:r>
      <w:bookmarkEnd w:id="6"/>
    </w:p>
    <w:p w14:paraId="4FF0349A" w14:textId="77777777" w:rsidR="0053069F" w:rsidRDefault="0053069F">
      <w:pPr>
        <w:pStyle w:val="Heading4"/>
      </w:pPr>
    </w:p>
    <w:p w14:paraId="4D1EE0B2" w14:textId="71CF84F5" w:rsidR="0053069F" w:rsidRDefault="008777F9" w:rsidP="002444B0">
      <w:pPr>
        <w:jc w:val="both"/>
        <w:rPr>
          <w:sz w:val="24"/>
          <w:szCs w:val="24"/>
        </w:rPr>
      </w:pPr>
      <w:r>
        <w:rPr>
          <w:sz w:val="24"/>
          <w:szCs w:val="24"/>
        </w:rPr>
        <w:t>U fina</w:t>
      </w:r>
      <w:r w:rsidR="004D0E1A">
        <w:rPr>
          <w:sz w:val="24"/>
          <w:szCs w:val="24"/>
        </w:rPr>
        <w:t xml:space="preserve">ncijskim izvještajima </w:t>
      </w:r>
      <w:r w:rsidR="00C35CFC">
        <w:rPr>
          <w:sz w:val="24"/>
          <w:szCs w:val="24"/>
        </w:rPr>
        <w:t xml:space="preserve"> </w:t>
      </w:r>
      <w:r>
        <w:rPr>
          <w:sz w:val="24"/>
          <w:szCs w:val="24"/>
        </w:rPr>
        <w:t>prihodi poslovanja su, sukladno članku 20. Pravilnika o proračunskom računovodstvu i Računskom planu, priznati temeljem modificiranog načela nastanka događaja u onom izvještajnom razdoblju u kojem su postali raspoloživi i mjerljivi.</w:t>
      </w:r>
    </w:p>
    <w:p w14:paraId="349EE3F5" w14:textId="2F86B0B2" w:rsidR="0053069F" w:rsidRDefault="008777F9" w:rsidP="00254EB8">
      <w:pPr>
        <w:rPr>
          <w:sz w:val="24"/>
          <w:szCs w:val="24"/>
        </w:rPr>
      </w:pPr>
      <w:r w:rsidRPr="00D21FA5">
        <w:rPr>
          <w:sz w:val="24"/>
          <w:szCs w:val="24"/>
        </w:rPr>
        <w:t>U razdob</w:t>
      </w:r>
      <w:r w:rsidR="004D0E1A" w:rsidRPr="00D21FA5">
        <w:rPr>
          <w:sz w:val="24"/>
          <w:szCs w:val="24"/>
        </w:rPr>
        <w:t>lju od siječnj</w:t>
      </w:r>
      <w:r w:rsidR="00730CFF" w:rsidRPr="00D21FA5">
        <w:rPr>
          <w:sz w:val="24"/>
          <w:szCs w:val="24"/>
        </w:rPr>
        <w:t>a do prosinca 202</w:t>
      </w:r>
      <w:r w:rsidR="0095256F" w:rsidRPr="00D21FA5">
        <w:rPr>
          <w:sz w:val="24"/>
          <w:szCs w:val="24"/>
        </w:rPr>
        <w:t>3</w:t>
      </w:r>
      <w:r w:rsidRPr="00D21FA5">
        <w:rPr>
          <w:sz w:val="24"/>
          <w:szCs w:val="24"/>
        </w:rPr>
        <w:t>. godine ostvarena je sljedeća struktura prihoda</w:t>
      </w:r>
      <w:r>
        <w:rPr>
          <w:sz w:val="24"/>
          <w:szCs w:val="24"/>
        </w:rPr>
        <w:t xml:space="preserve"> poslovanja:</w:t>
      </w:r>
    </w:p>
    <w:tbl>
      <w:tblPr>
        <w:tblW w:w="92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4274"/>
        <w:gridCol w:w="708"/>
        <w:gridCol w:w="1276"/>
        <w:gridCol w:w="1276"/>
        <w:gridCol w:w="1041"/>
      </w:tblGrid>
      <w:tr w:rsidR="0053069F" w14:paraId="2585ED9B" w14:textId="77777777">
        <w:trPr>
          <w:trHeight w:val="11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pct25" w:color="C0C0C0" w:fill="FFFFFF"/>
            <w:vAlign w:val="center"/>
          </w:tcPr>
          <w:p w14:paraId="4E9BF8EE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4274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FFFFFF"/>
            <w:noWrap/>
            <w:vAlign w:val="center"/>
          </w:tcPr>
          <w:p w14:paraId="50A9B4E0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stavke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FFFFFF"/>
            <w:noWrap/>
            <w:vAlign w:val="center"/>
          </w:tcPr>
          <w:p w14:paraId="198CDD3A" w14:textId="77777777" w:rsidR="0053069F" w:rsidRDefault="00D95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FFFFFF"/>
            <w:vAlign w:val="center"/>
          </w:tcPr>
          <w:p w14:paraId="4C0FCA78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Ostvareno</w:t>
            </w:r>
            <w:r w:rsidR="00C82C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 izvještajnom razdoblju prethodne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godine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FFFFFF"/>
            <w:vAlign w:val="center"/>
          </w:tcPr>
          <w:p w14:paraId="14D7339D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Ostvareno u izvještajnom razdoblju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tekuće godine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C0C0C0" w:fill="FFFFFF"/>
            <w:vAlign w:val="center"/>
          </w:tcPr>
          <w:p w14:paraId="1EE3D598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53069F" w14:paraId="2EA5E1D5" w14:textId="77777777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</w:tcPr>
          <w:p w14:paraId="1DF90E6E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</w:tcPr>
          <w:p w14:paraId="76AB517F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</w:tcPr>
          <w:p w14:paraId="2562768A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noWrap/>
            <w:vAlign w:val="center"/>
          </w:tcPr>
          <w:p w14:paraId="4D6A5A48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noWrap/>
            <w:vAlign w:val="center"/>
          </w:tcPr>
          <w:p w14:paraId="0416674F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</w:tcPr>
          <w:p w14:paraId="6A85EB6F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</w:t>
            </w:r>
          </w:p>
        </w:tc>
      </w:tr>
      <w:tr w:rsidR="0053069F" w14:paraId="1B205D19" w14:textId="77777777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000000" w:fill="F2F2F2"/>
            <w:vAlign w:val="center"/>
          </w:tcPr>
          <w:p w14:paraId="2CD5806C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Prihodi poslovanja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000000" w:fill="F2F2F2"/>
            <w:noWrap/>
            <w:vAlign w:val="center"/>
          </w:tcPr>
          <w:p w14:paraId="15AC731F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000000" w:fill="F2F2F2"/>
            <w:noWrap/>
            <w:vAlign w:val="center"/>
          </w:tcPr>
          <w:p w14:paraId="13C93578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000000" w:fill="F2F2F2"/>
            <w:noWrap/>
            <w:vAlign w:val="center"/>
          </w:tcPr>
          <w:p w14:paraId="291501D4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5F3F590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</w:tr>
      <w:tr w:rsidR="009B533E" w14:paraId="41F0DA57" w14:textId="77777777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43A03C02" w14:textId="77777777" w:rsidR="009B533E" w:rsidRPr="007D21CA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D21C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752AEDD8" w14:textId="77777777" w:rsidR="009B533E" w:rsidRPr="007D21CA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D21C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PRIHODI POSLOVANJA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AF35E80" w14:textId="77777777" w:rsidR="009B533E" w:rsidRPr="007D21CA" w:rsidRDefault="009B533E" w:rsidP="009B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D21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57CFEB0" w14:textId="2365B16E" w:rsidR="009B533E" w:rsidRPr="007D21CA" w:rsidRDefault="001050A0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6.252,54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17436388" w14:textId="26575A07" w:rsidR="009B533E" w:rsidRPr="007D21CA" w:rsidRDefault="001050A0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131.7</w:t>
            </w:r>
            <w:r w:rsidR="003266A9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97,98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0F4E17B9" w14:textId="01938276" w:rsidR="009B533E" w:rsidRPr="007D21CA" w:rsidRDefault="001050A0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hr-HR"/>
              </w:rPr>
              <w:t>210</w:t>
            </w:r>
            <w:r w:rsidR="007513B6">
              <w:rPr>
                <w:rFonts w:ascii="Arial" w:eastAsia="Times New Roman" w:hAnsi="Arial" w:cs="Arial"/>
                <w:b/>
                <w:sz w:val="16"/>
                <w:szCs w:val="16"/>
                <w:lang w:val="en-US" w:eastAsia="hr-HR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hr-HR"/>
              </w:rPr>
              <w:t>,</w:t>
            </w:r>
            <w:r w:rsidR="007513B6">
              <w:rPr>
                <w:rFonts w:ascii="Arial" w:eastAsia="Times New Roman" w:hAnsi="Arial" w:cs="Arial"/>
                <w:b/>
                <w:sz w:val="16"/>
                <w:szCs w:val="16"/>
                <w:lang w:val="en-US" w:eastAsia="hr-HR"/>
              </w:rPr>
              <w:t>9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hr-HR"/>
              </w:rPr>
              <w:t>0</w:t>
            </w:r>
          </w:p>
        </w:tc>
      </w:tr>
      <w:tr w:rsidR="0046119D" w14:paraId="2E848B6A" w14:textId="77777777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54924DA4" w14:textId="4EA3F12F" w:rsidR="0046119D" w:rsidRDefault="0046119D" w:rsidP="009B53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BB96958" w14:textId="4D034232" w:rsidR="0046119D" w:rsidRDefault="00A04EC5" w:rsidP="009B5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subjekata unutsr općeg proračuna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30B037F" w14:textId="137C2588" w:rsidR="0046119D" w:rsidRDefault="00A04EC5" w:rsidP="009B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892179F" w14:textId="645A1111" w:rsidR="0046119D" w:rsidRDefault="00455431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57A10B99" w14:textId="0710FA7F" w:rsidR="0046119D" w:rsidRDefault="00455431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5846C871" w14:textId="64B1C7BC" w:rsidR="0046119D" w:rsidRDefault="0046119D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B533E" w14:paraId="0CE10A8D" w14:textId="77777777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4C6CEF08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A1AEFC9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od imovine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466D9862" w14:textId="77777777" w:rsidR="009B533E" w:rsidRDefault="009F477E" w:rsidP="009B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757BC170" w14:textId="34D17240" w:rsidR="009B533E" w:rsidRDefault="00455431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27B8DDB9" w14:textId="13691837" w:rsidR="009B533E" w:rsidRDefault="00455431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7A1EDBBE" w14:textId="0F30BD86" w:rsidR="009B533E" w:rsidRDefault="009B533E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B533E" w14:paraId="4DFF3117" w14:textId="77777777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305E86E2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356966C4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27983ECD" w14:textId="77777777" w:rsidR="009B533E" w:rsidRDefault="009F477E" w:rsidP="009B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16AE10E6" w14:textId="13CE7E3E" w:rsidR="009B533E" w:rsidRDefault="00455431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2ECAF38A" w14:textId="2576C271" w:rsidR="009B533E" w:rsidRDefault="00455431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3AEDC083" w14:textId="1C547A07" w:rsidR="009B533E" w:rsidRDefault="009B533E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B533E" w14:paraId="61C3C80A" w14:textId="77777777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520B0E7B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D375755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od prodaje proizvoda i robe te pruženih usluga i prihodi od donacija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1F1E18C5" w14:textId="77777777" w:rsidR="009B533E" w:rsidRDefault="009F477E" w:rsidP="009B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0A8FC94" w14:textId="5420A03F" w:rsidR="009B533E" w:rsidRDefault="00455431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4DEEB0C0" w14:textId="35763D1A" w:rsidR="009B533E" w:rsidRDefault="00455431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58FFA0AC" w14:textId="5B7B7692" w:rsidR="009B533E" w:rsidRDefault="009B533E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B533E" w14:paraId="6F27244B" w14:textId="77777777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2EDE1481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18C56FC8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iz nadležnog proračuna i od HZZO-a na temelju ugovornih obveza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95E1A1B" w14:textId="77777777" w:rsidR="009B533E" w:rsidRDefault="009F477E" w:rsidP="009B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5A1C5E77" w14:textId="178EBA9C" w:rsidR="003665D8" w:rsidRDefault="001050A0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0D60E136" w14:textId="713CC92E" w:rsidR="009B533E" w:rsidRDefault="001050A0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131.7</w:t>
            </w:r>
            <w:r w:rsidR="003266A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58AC9042" w14:textId="527DEF9B" w:rsidR="009B533E" w:rsidRDefault="001050A0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</w:t>
            </w:r>
            <w:r w:rsidR="007513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 w:rsidR="007513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9B533E" w14:paraId="6E12F94B" w14:textId="77777777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4BA835CD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0F24CA53" w14:textId="77777777" w:rsidR="009B533E" w:rsidRDefault="009B533E" w:rsidP="009B5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11728542" w14:textId="77777777" w:rsidR="009B533E" w:rsidRDefault="009F477E" w:rsidP="009B5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</w:tcPr>
          <w:p w14:paraId="716EE3CE" w14:textId="25B585A6" w:rsidR="009B533E" w:rsidRDefault="009B533E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</w:tcPr>
          <w:p w14:paraId="462643D5" w14:textId="1839C442" w:rsidR="009B533E" w:rsidRDefault="009B533E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50EBB" w14:textId="372B58EE" w:rsidR="009B533E" w:rsidRDefault="009B533E" w:rsidP="009B5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376771A3" w14:textId="77777777" w:rsidR="00B57588" w:rsidRDefault="00B57588" w:rsidP="00B57588">
      <w:pPr>
        <w:pStyle w:val="Heading4"/>
      </w:pPr>
      <w:bookmarkStart w:id="7" w:name="_Toc943783"/>
    </w:p>
    <w:bookmarkEnd w:id="7"/>
    <w:p w14:paraId="654B174D" w14:textId="77777777" w:rsidR="0053069F" w:rsidRDefault="008777F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Prihodi od imovine sastoje se od:</w:t>
      </w:r>
    </w:p>
    <w:p w14:paraId="6D4AF39D" w14:textId="2CCD05F8" w:rsidR="0053069F" w:rsidRPr="00D95F75" w:rsidRDefault="008777F9" w:rsidP="00B2350C">
      <w:pPr>
        <w:numPr>
          <w:ilvl w:val="0"/>
          <w:numId w:val="5"/>
        </w:numPr>
        <w:spacing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kamata na depozite p</w:t>
      </w:r>
      <w:r w:rsidR="00F74512">
        <w:rPr>
          <w:bCs/>
          <w:iCs/>
          <w:sz w:val="24"/>
          <w:szCs w:val="24"/>
        </w:rPr>
        <w:t xml:space="preserve">o viđenju </w:t>
      </w:r>
      <w:r w:rsidR="00F74512">
        <w:rPr>
          <w:bCs/>
          <w:iCs/>
          <w:sz w:val="24"/>
          <w:szCs w:val="24"/>
        </w:rPr>
        <w:tab/>
      </w:r>
      <w:r w:rsidR="00F74512">
        <w:rPr>
          <w:bCs/>
          <w:iCs/>
          <w:sz w:val="24"/>
          <w:szCs w:val="24"/>
        </w:rPr>
        <w:tab/>
      </w:r>
      <w:r w:rsidR="00F74512">
        <w:rPr>
          <w:bCs/>
          <w:iCs/>
          <w:sz w:val="24"/>
          <w:szCs w:val="24"/>
        </w:rPr>
        <w:tab/>
      </w:r>
      <w:r w:rsidR="00F74512">
        <w:rPr>
          <w:bCs/>
          <w:iCs/>
          <w:sz w:val="24"/>
          <w:szCs w:val="24"/>
        </w:rPr>
        <w:tab/>
      </w:r>
      <w:r w:rsidR="00F74512">
        <w:rPr>
          <w:bCs/>
          <w:iCs/>
          <w:sz w:val="24"/>
          <w:szCs w:val="24"/>
        </w:rPr>
        <w:tab/>
        <w:t xml:space="preserve">        </w:t>
      </w:r>
      <w:r w:rsidR="00F74512">
        <w:rPr>
          <w:bCs/>
          <w:iCs/>
          <w:sz w:val="24"/>
          <w:szCs w:val="24"/>
        </w:rPr>
        <w:tab/>
      </w:r>
      <w:r w:rsidR="00B355DA">
        <w:rPr>
          <w:bCs/>
          <w:iCs/>
          <w:sz w:val="24"/>
          <w:szCs w:val="24"/>
        </w:rPr>
        <w:t>0,</w:t>
      </w:r>
      <w:r w:rsidR="006744AF">
        <w:rPr>
          <w:bCs/>
          <w:iCs/>
          <w:sz w:val="24"/>
          <w:szCs w:val="24"/>
        </w:rPr>
        <w:t>0</w:t>
      </w:r>
      <w:r w:rsidR="00B355DA">
        <w:rPr>
          <w:bCs/>
          <w:iCs/>
          <w:sz w:val="24"/>
          <w:szCs w:val="24"/>
        </w:rPr>
        <w:t>0</w:t>
      </w:r>
      <w:r w:rsidR="004A12B0" w:rsidRPr="00D95F75">
        <w:rPr>
          <w:bCs/>
          <w:iCs/>
          <w:sz w:val="24"/>
          <w:szCs w:val="24"/>
        </w:rPr>
        <w:t xml:space="preserve">        </w:t>
      </w:r>
    </w:p>
    <w:p w14:paraId="6F70AD31" w14:textId="54152079" w:rsidR="0053069F" w:rsidRDefault="00F540B2" w:rsidP="00F540B2">
      <w:pPr>
        <w:pStyle w:val="Heading5"/>
        <w:numPr>
          <w:ilvl w:val="0"/>
          <w:numId w:val="0"/>
        </w:numPr>
        <w:ind w:left="708"/>
      </w:pPr>
      <w:bookmarkStart w:id="8" w:name="_Toc943787"/>
      <w:r>
        <w:lastRenderedPageBreak/>
        <w:t xml:space="preserve">2.1.5. </w:t>
      </w:r>
      <w:r w:rsidR="008777F9">
        <w:t>Prihodi iz nadležnog proračuna  na temelju ugovornih obveza - grupa konta 67 –</w:t>
      </w:r>
      <w:bookmarkEnd w:id="8"/>
      <w:r w:rsidR="00F64659">
        <w:t xml:space="preserve"> Šifra 67</w:t>
      </w:r>
      <w:r w:rsidR="008777F9">
        <w:t xml:space="preserve">           </w:t>
      </w:r>
    </w:p>
    <w:p w14:paraId="50B12504" w14:textId="77777777" w:rsidR="0053069F" w:rsidRDefault="0053069F">
      <w:pPr>
        <w:rPr>
          <w:bCs/>
          <w:iCs/>
          <w:sz w:val="24"/>
          <w:szCs w:val="24"/>
        </w:rPr>
      </w:pPr>
    </w:p>
    <w:p w14:paraId="36E5D9CE" w14:textId="63621F66" w:rsidR="0053069F" w:rsidRDefault="008777F9" w:rsidP="00EB76F9">
      <w:pPr>
        <w:spacing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Prihodi </w:t>
      </w:r>
      <w:r w:rsidR="00E859FC">
        <w:rPr>
          <w:bCs/>
          <w:iCs/>
          <w:sz w:val="24"/>
          <w:szCs w:val="24"/>
        </w:rPr>
        <w:t xml:space="preserve">iz nadležnog proračuna </w:t>
      </w:r>
      <w:r w:rsidR="00F64659">
        <w:rPr>
          <w:bCs/>
          <w:iCs/>
          <w:sz w:val="24"/>
          <w:szCs w:val="24"/>
        </w:rPr>
        <w:t xml:space="preserve"> 202</w:t>
      </w:r>
      <w:r w:rsidR="00EB76F9"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 xml:space="preserve">. godini </w:t>
      </w:r>
      <w:r w:rsidR="00E859FC">
        <w:rPr>
          <w:bCs/>
          <w:iCs/>
          <w:sz w:val="24"/>
          <w:szCs w:val="24"/>
        </w:rPr>
        <w:t>kao prihod za financiranje plaća zaposlenika</w:t>
      </w:r>
      <w:r>
        <w:rPr>
          <w:bCs/>
          <w:iCs/>
          <w:sz w:val="24"/>
          <w:szCs w:val="24"/>
        </w:rPr>
        <w:t xml:space="preserve"> </w:t>
      </w:r>
      <w:r w:rsidR="00EB76F9">
        <w:rPr>
          <w:bCs/>
          <w:iCs/>
          <w:sz w:val="24"/>
          <w:szCs w:val="24"/>
        </w:rPr>
        <w:t>i</w:t>
      </w:r>
    </w:p>
    <w:p w14:paraId="0ED00BCA" w14:textId="79F786B7" w:rsidR="00EB76F9" w:rsidRDefault="00AA472D" w:rsidP="00EB76F9">
      <w:pPr>
        <w:spacing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</w:t>
      </w:r>
      <w:r w:rsidR="00EB76F9">
        <w:rPr>
          <w:bCs/>
          <w:iCs/>
          <w:sz w:val="24"/>
          <w:szCs w:val="24"/>
        </w:rPr>
        <w:t>aterijalnih troškova u iznosu od</w:t>
      </w:r>
    </w:p>
    <w:p w14:paraId="5C85B05E" w14:textId="77777777" w:rsidR="00E14A03" w:rsidRDefault="00E14A03" w:rsidP="00EB76F9">
      <w:pPr>
        <w:spacing w:after="0"/>
        <w:jc w:val="both"/>
        <w:rPr>
          <w:bCs/>
          <w:iCs/>
          <w:sz w:val="24"/>
          <w:szCs w:val="24"/>
        </w:rPr>
      </w:pPr>
    </w:p>
    <w:p w14:paraId="7FC3B67B" w14:textId="54101CC0" w:rsidR="00EB76F9" w:rsidRDefault="00EB76F9" w:rsidP="00EB76F9">
      <w:pPr>
        <w:pStyle w:val="ListParagraph"/>
        <w:numPr>
          <w:ilvl w:val="0"/>
          <w:numId w:val="18"/>
        </w:numPr>
        <w:spacing w:after="0"/>
        <w:jc w:val="both"/>
        <w:rPr>
          <w:bCs/>
          <w:iCs/>
          <w:sz w:val="24"/>
          <w:szCs w:val="24"/>
        </w:rPr>
      </w:pPr>
      <w:r w:rsidRPr="00EB76F9">
        <w:rPr>
          <w:bCs/>
          <w:iCs/>
          <w:sz w:val="24"/>
          <w:szCs w:val="24"/>
        </w:rPr>
        <w:t>Plaće</w:t>
      </w:r>
      <w:r>
        <w:rPr>
          <w:bCs/>
          <w:iCs/>
          <w:sz w:val="24"/>
          <w:szCs w:val="24"/>
        </w:rPr>
        <w:t xml:space="preserve"> za zaposlene</w:t>
      </w:r>
      <w:r w:rsidR="00562D37">
        <w:rPr>
          <w:bCs/>
          <w:iCs/>
          <w:sz w:val="24"/>
          <w:szCs w:val="24"/>
        </w:rPr>
        <w:t xml:space="preserve"> </w:t>
      </w:r>
      <w:r w:rsidR="000E08AC">
        <w:rPr>
          <w:bCs/>
          <w:iCs/>
          <w:sz w:val="24"/>
          <w:szCs w:val="24"/>
        </w:rPr>
        <w:t xml:space="preserve">                          56.326,45</w:t>
      </w:r>
      <w:r>
        <w:rPr>
          <w:bCs/>
          <w:iCs/>
          <w:sz w:val="24"/>
          <w:szCs w:val="24"/>
        </w:rPr>
        <w:t xml:space="preserve"> </w:t>
      </w:r>
      <w:r w:rsidRPr="00EB76F9">
        <w:rPr>
          <w:bCs/>
          <w:iCs/>
          <w:sz w:val="24"/>
          <w:szCs w:val="24"/>
        </w:rPr>
        <w:t xml:space="preserve"> €</w:t>
      </w:r>
    </w:p>
    <w:p w14:paraId="44B0872B" w14:textId="777E1D5F" w:rsidR="00EB76F9" w:rsidRPr="00EB76F9" w:rsidRDefault="00EB76F9" w:rsidP="00EB76F9">
      <w:pPr>
        <w:pStyle w:val="ListParagraph"/>
        <w:numPr>
          <w:ilvl w:val="0"/>
          <w:numId w:val="18"/>
        </w:numPr>
        <w:spacing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Materijalni </w:t>
      </w:r>
      <w:proofErr w:type="spellStart"/>
      <w:r>
        <w:rPr>
          <w:bCs/>
          <w:iCs/>
          <w:sz w:val="24"/>
          <w:szCs w:val="24"/>
        </w:rPr>
        <w:t>roškovi</w:t>
      </w:r>
      <w:proofErr w:type="spellEnd"/>
      <w:r>
        <w:rPr>
          <w:bCs/>
          <w:iCs/>
          <w:sz w:val="24"/>
          <w:szCs w:val="24"/>
        </w:rPr>
        <w:t xml:space="preserve">   </w:t>
      </w:r>
      <w:r w:rsidR="00562D37">
        <w:rPr>
          <w:bCs/>
          <w:iCs/>
          <w:sz w:val="24"/>
          <w:szCs w:val="24"/>
        </w:rPr>
        <w:t xml:space="preserve">                     </w:t>
      </w:r>
      <w:r w:rsidR="000E08AC">
        <w:rPr>
          <w:bCs/>
          <w:iCs/>
          <w:sz w:val="24"/>
          <w:szCs w:val="24"/>
        </w:rPr>
        <w:t xml:space="preserve">  75.</w:t>
      </w:r>
      <w:r w:rsidR="00233142">
        <w:rPr>
          <w:bCs/>
          <w:iCs/>
          <w:sz w:val="24"/>
          <w:szCs w:val="24"/>
        </w:rPr>
        <w:t>471,53</w:t>
      </w:r>
      <w:r w:rsidR="000E08AC">
        <w:rPr>
          <w:bCs/>
          <w:iCs/>
          <w:sz w:val="24"/>
          <w:szCs w:val="24"/>
        </w:rPr>
        <w:t xml:space="preserve">  €</w:t>
      </w:r>
      <w:r w:rsidR="00562D37">
        <w:rPr>
          <w:bCs/>
          <w:iCs/>
          <w:sz w:val="24"/>
          <w:szCs w:val="24"/>
        </w:rPr>
        <w:t xml:space="preserve">                                       </w:t>
      </w:r>
      <w:r>
        <w:rPr>
          <w:bCs/>
          <w:iCs/>
          <w:sz w:val="24"/>
          <w:szCs w:val="24"/>
        </w:rPr>
        <w:t xml:space="preserve"> </w:t>
      </w:r>
    </w:p>
    <w:p w14:paraId="76D065DB" w14:textId="77777777" w:rsidR="00EB76F9" w:rsidRDefault="00EB76F9" w:rsidP="00EB76F9">
      <w:pPr>
        <w:spacing w:after="0"/>
        <w:jc w:val="both"/>
        <w:rPr>
          <w:bCs/>
          <w:iCs/>
          <w:sz w:val="24"/>
          <w:szCs w:val="24"/>
        </w:rPr>
      </w:pPr>
    </w:p>
    <w:p w14:paraId="2AE17506" w14:textId="77777777" w:rsidR="00731F30" w:rsidRDefault="00731F30">
      <w:pPr>
        <w:rPr>
          <w:bCs/>
          <w:iCs/>
          <w:sz w:val="24"/>
          <w:szCs w:val="24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739"/>
        <w:gridCol w:w="4454"/>
        <w:gridCol w:w="595"/>
        <w:gridCol w:w="1273"/>
        <w:gridCol w:w="1273"/>
        <w:gridCol w:w="759"/>
        <w:gridCol w:w="527"/>
      </w:tblGrid>
      <w:tr w:rsidR="0053069F" w14:paraId="491AF3D8" w14:textId="77777777" w:rsidTr="00577254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5629" w14:textId="554C7F69" w:rsidR="00267194" w:rsidRDefault="003575A6" w:rsidP="00254EB8">
            <w:pPr>
              <w:spacing w:after="0" w:line="240" w:lineRule="auto"/>
              <w:ind w:right="-108"/>
              <w:jc w:val="both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Šifra 6</w:t>
            </w:r>
            <w:r w:rsidR="008777F9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–</w:t>
            </w:r>
            <w:r w:rsidR="00087BE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indeks</w:t>
            </w:r>
            <w:r w:rsidR="00087BE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210</w:t>
            </w:r>
            <w:r w:rsidR="00BF38AB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7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,</w:t>
            </w:r>
            <w:r w:rsidR="00BF38AB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9</w:t>
            </w:r>
            <w:r w:rsidR="008777F9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- Ukupno ostvareni prihodi 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JAVNE USTANOVE ZAVODA ZA PROSTORNO UREĐENJE GRADA SPLITA za</w:t>
            </w:r>
            <w:r w:rsidR="0026719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2023.</w:t>
            </w:r>
            <w:r w:rsidR="008777F9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godinu iznose 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131.7</w:t>
            </w:r>
            <w:r w:rsidR="00BF38AB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97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,</w:t>
            </w:r>
            <w:r w:rsidR="00BF38AB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98</w:t>
            </w:r>
            <w:r w:rsidR="00087BE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26719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€ </w:t>
            </w:r>
            <w:r w:rsidR="008777F9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što je</w:t>
            </w: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26719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indeks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rasta 210</w:t>
            </w:r>
            <w:r w:rsidR="00BF38AB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7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,</w:t>
            </w:r>
            <w:r w:rsidR="00BF38AB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9</w:t>
            </w:r>
            <w:r w:rsidR="0026719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2722A0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8777F9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u odnosu na 20</w:t>
            </w:r>
            <w:r w:rsidR="0027073B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2</w:t>
            </w:r>
            <w:r w:rsidR="0026719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2</w:t>
            </w:r>
            <w:r w:rsidR="008777F9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. godinu. Osnovni razlog 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povećanja</w:t>
            </w:r>
            <w:r w:rsidR="008777F9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prihoda je </w:t>
            </w:r>
            <w:r w:rsidR="000E08AC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>što je JAVNA USTANOVA ZAVODA ZA PROSTORNO UREĐENJE POČELA SA RADOM u 2023.godini</w:t>
            </w:r>
            <w:r w:rsidR="00AA472D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i zaposlila četiri djelatnika.</w:t>
            </w:r>
          </w:p>
          <w:p w14:paraId="755C3AC5" w14:textId="77777777" w:rsidR="001C5CAE" w:rsidRDefault="001C5CAE" w:rsidP="00254EB8">
            <w:pPr>
              <w:spacing w:after="0" w:line="240" w:lineRule="auto"/>
              <w:ind w:right="-108"/>
              <w:jc w:val="both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0F7CA36D" w14:textId="77777777" w:rsidR="0053069F" w:rsidRDefault="0053069F" w:rsidP="00254EB8">
            <w:pPr>
              <w:spacing w:after="0" w:line="240" w:lineRule="auto"/>
              <w:ind w:right="-108"/>
              <w:jc w:val="both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3B963D00" w14:textId="77777777" w:rsidR="0053069F" w:rsidRPr="00577254" w:rsidRDefault="008777F9" w:rsidP="00254EB8">
            <w:pPr>
              <w:pStyle w:val="Heading4"/>
            </w:pPr>
            <w:bookmarkStart w:id="9" w:name="_Toc943789"/>
            <w:r>
              <w:t>2.</w:t>
            </w:r>
            <w:r w:rsidR="00577254">
              <w:t>2</w:t>
            </w:r>
            <w:r>
              <w:t>. Rashodi poslovanja</w:t>
            </w:r>
            <w:bookmarkEnd w:id="9"/>
          </w:p>
          <w:p w14:paraId="0DAF0FE1" w14:textId="77777777" w:rsidR="0053069F" w:rsidRDefault="0053069F" w:rsidP="00254EB8">
            <w:pPr>
              <w:jc w:val="both"/>
              <w:rPr>
                <w:sz w:val="24"/>
                <w:szCs w:val="24"/>
                <w:lang w:eastAsia="hr-HR"/>
              </w:rPr>
            </w:pPr>
          </w:p>
          <w:p w14:paraId="1000ED47" w14:textId="77777777" w:rsidR="0053069F" w:rsidRDefault="008777F9" w:rsidP="00254EB8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>Za razliku od prihoda poslovanja, a sukladno odredbama Pravilnika o proračunskom računovodstvu i Računskom planu, rashodi poslovanja priznati su  temeljem  nastanka poslovnog događaja i  neovisno o plaćanju.</w:t>
            </w:r>
          </w:p>
          <w:p w14:paraId="0E9B7BA9" w14:textId="77777777" w:rsidR="0053069F" w:rsidRDefault="0053069F" w:rsidP="00254EB8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14:paraId="7DE3C514" w14:textId="6E16A7C1" w:rsidR="0053069F" w:rsidRDefault="008777F9" w:rsidP="00254EB8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>U razdoblju od siječnja do prosinca 20</w:t>
            </w:r>
            <w:r w:rsidR="00730CFF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="00267194">
              <w:rPr>
                <w:rFonts w:eastAsia="Times New Roman" w:cs="Arial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>. godine ostvarena je sljedeća struktura rashoda poslovanja:</w:t>
            </w:r>
          </w:p>
          <w:p w14:paraId="260C836F" w14:textId="77777777" w:rsidR="0053069F" w:rsidRDefault="0053069F" w:rsidP="00254EB8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</w:tr>
      <w:tr w:rsidR="0053069F" w14:paraId="737A5BFE" w14:textId="77777777" w:rsidTr="00577254">
        <w:trPr>
          <w:gridAfter w:val="1"/>
          <w:wAfter w:w="527" w:type="dxa"/>
          <w:trHeight w:val="112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pct25" w:color="C0C0C0" w:fill="FFFFFF"/>
            <w:vAlign w:val="center"/>
          </w:tcPr>
          <w:p w14:paraId="2A0979FD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4454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FFFFFF"/>
            <w:noWrap/>
            <w:vAlign w:val="center"/>
          </w:tcPr>
          <w:p w14:paraId="4899B48E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stavke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FFFFFF"/>
            <w:noWrap/>
            <w:vAlign w:val="center"/>
          </w:tcPr>
          <w:p w14:paraId="4BB076AA" w14:textId="77777777" w:rsidR="0053069F" w:rsidRDefault="00DE7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FFFFFF"/>
            <w:vAlign w:val="center"/>
          </w:tcPr>
          <w:p w14:paraId="4BC531BF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Ostvareno</w:t>
            </w:r>
            <w:r w:rsidR="00C82C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 izvještajnom razdoblju prethodne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godine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FFFFFF"/>
            <w:vAlign w:val="center"/>
          </w:tcPr>
          <w:p w14:paraId="67124BFE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Ostvareno u izvještajnom razdoblju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tekuće godine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C0C0C0" w:fill="FFFFFF"/>
            <w:vAlign w:val="center"/>
          </w:tcPr>
          <w:p w14:paraId="43FA46C9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(5/4)</w:t>
            </w:r>
          </w:p>
        </w:tc>
      </w:tr>
      <w:tr w:rsidR="0053069F" w14:paraId="75843C8C" w14:textId="77777777" w:rsidTr="00577254">
        <w:trPr>
          <w:gridAfter w:val="1"/>
          <w:wAfter w:w="527" w:type="dxa"/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</w:tcPr>
          <w:p w14:paraId="38280A59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</w:tcPr>
          <w:p w14:paraId="7321C189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</w:tcPr>
          <w:p w14:paraId="710A905D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noWrap/>
            <w:vAlign w:val="center"/>
          </w:tcPr>
          <w:p w14:paraId="3D5139B2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noWrap/>
            <w:vAlign w:val="center"/>
          </w:tcPr>
          <w:p w14:paraId="701F2985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</w:tcPr>
          <w:p w14:paraId="7688B492" w14:textId="77777777" w:rsidR="0053069F" w:rsidRDefault="0087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</w:t>
            </w:r>
          </w:p>
        </w:tc>
      </w:tr>
      <w:tr w:rsidR="0053069F" w14:paraId="0C2283DD" w14:textId="77777777" w:rsidTr="00577254">
        <w:trPr>
          <w:gridAfter w:val="1"/>
          <w:wAfter w:w="527" w:type="dxa"/>
          <w:trHeight w:val="300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000000" w:fill="F2F2F2"/>
            <w:vAlign w:val="center"/>
          </w:tcPr>
          <w:p w14:paraId="6D13BC45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Rashodi poslovanja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000000" w:fill="F2F2F2"/>
            <w:noWrap/>
            <w:vAlign w:val="center"/>
          </w:tcPr>
          <w:p w14:paraId="292A952F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000000" w:fill="F2F2F2"/>
            <w:noWrap/>
            <w:vAlign w:val="center"/>
          </w:tcPr>
          <w:p w14:paraId="61A9F820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000000" w:fill="F2F2F2"/>
            <w:noWrap/>
            <w:vAlign w:val="center"/>
          </w:tcPr>
          <w:p w14:paraId="50A0CB7A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3AAD7B8" w14:textId="77777777" w:rsidR="0053069F" w:rsidRDefault="00877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</w:tr>
      <w:tr w:rsidR="00D01069" w14:paraId="6B04DCAE" w14:textId="77777777" w:rsidTr="00577254">
        <w:trPr>
          <w:gridAfter w:val="1"/>
          <w:wAfter w:w="527" w:type="dxa"/>
          <w:trHeight w:val="4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23297CD8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9A72FDB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POSLOVANJA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DE39FAD" w14:textId="77777777" w:rsidR="00D01069" w:rsidRDefault="00D01069" w:rsidP="00D01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507195C0" w14:textId="3A2A8F00" w:rsidR="00AF10B1" w:rsidRDefault="00A8460F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6.412,13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08AC1CA" w14:textId="39FF6466" w:rsidR="00D01069" w:rsidRDefault="00A8460F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</w:t>
            </w:r>
            <w:r w:rsidR="00BE7A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804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 w:rsidR="00BE7A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56393075" w14:textId="258AFC3B" w:rsidR="00D01069" w:rsidRDefault="00DA44D1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1969,6</w:t>
            </w:r>
          </w:p>
        </w:tc>
      </w:tr>
      <w:tr w:rsidR="00D01069" w14:paraId="46F837E7" w14:textId="77777777" w:rsidTr="00A8460F">
        <w:trPr>
          <w:gridAfter w:val="1"/>
          <w:wAfter w:w="527" w:type="dxa"/>
          <w:trHeight w:val="553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3492F9CB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585C0E2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7745534C" w14:textId="77777777" w:rsidR="00D01069" w:rsidRDefault="00D01069" w:rsidP="00D01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9998977" w14:textId="729F6C8F" w:rsidR="00D01069" w:rsidRDefault="00A8460F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523B61A3" w14:textId="6DB920BF" w:rsidR="00D01069" w:rsidRDefault="00A8460F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69.120,59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4B1D8806" w14:textId="714D7C5C" w:rsidR="00D01069" w:rsidRDefault="00D01069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01069" w14:paraId="39203484" w14:textId="77777777" w:rsidTr="00577254">
        <w:trPr>
          <w:gridAfter w:val="1"/>
          <w:wAfter w:w="527" w:type="dxa"/>
          <w:trHeight w:val="4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3B857E12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B425AA0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B9B56B0" w14:textId="77777777" w:rsidR="00D01069" w:rsidRDefault="00D01069" w:rsidP="00D01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1595801" w14:textId="7D74D34F" w:rsidR="00D01069" w:rsidRDefault="00A8460F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6.243,32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B9215CD" w14:textId="71274B6B" w:rsidR="00D01069" w:rsidRDefault="00A8460F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</w:t>
            </w:r>
            <w:r w:rsidR="00BE7A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6E5B217A" w14:textId="63951276" w:rsidR="00D01069" w:rsidRDefault="00DA44D1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625,</w:t>
            </w:r>
            <w:r w:rsidR="00D032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  <w:tr w:rsidR="00D01069" w14:paraId="2923E5DB" w14:textId="77777777" w:rsidTr="00577254">
        <w:trPr>
          <w:gridAfter w:val="1"/>
          <w:wAfter w:w="527" w:type="dxa"/>
          <w:trHeight w:val="4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238B74B6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8092BE8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52E62930" w14:textId="00B2908F" w:rsidR="00D01069" w:rsidRDefault="00D01069" w:rsidP="00D01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="00AF10B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2C70255" w14:textId="19C8277D" w:rsidR="00D01069" w:rsidRDefault="00A8460F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07B1664D" w14:textId="05362213" w:rsidR="00D01069" w:rsidRDefault="00A8460F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612,39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3BAE4F45" w14:textId="2B593AF9" w:rsidR="00D01069" w:rsidRDefault="00DA44D1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362,8</w:t>
            </w:r>
          </w:p>
        </w:tc>
      </w:tr>
      <w:tr w:rsidR="00D01069" w14:paraId="08CE0784" w14:textId="77777777" w:rsidTr="00577254">
        <w:trPr>
          <w:gridAfter w:val="1"/>
          <w:wAfter w:w="527" w:type="dxa"/>
          <w:trHeight w:val="4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135C997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783872F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Subvencije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3BE61467" w14:textId="77777777" w:rsidR="00D01069" w:rsidRDefault="00D01069" w:rsidP="00D01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1416D5F6" w14:textId="5E5F927D" w:rsidR="00D01069" w:rsidRDefault="00AF10B1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  <w:p w14:paraId="04A996B4" w14:textId="196341CA" w:rsidR="00AF10B1" w:rsidRDefault="00AF10B1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79071E5A" w14:textId="0946FB81" w:rsidR="00D01069" w:rsidRDefault="00AF10B1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21244DEB" w14:textId="158EF158" w:rsidR="00D01069" w:rsidRDefault="00D01069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01069" w14:paraId="490FC67F" w14:textId="77777777" w:rsidTr="00577254">
        <w:trPr>
          <w:gridAfter w:val="1"/>
          <w:wAfter w:w="527" w:type="dxa"/>
          <w:trHeight w:val="4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3030FF1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7878B36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Pomoći dane u inozemstvo i unutar općeg proračuna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75F4575A" w14:textId="77777777" w:rsidR="00D01069" w:rsidRDefault="00D01069" w:rsidP="00D01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68C71847" w14:textId="575D74D2" w:rsidR="00D01069" w:rsidRDefault="00AF10B1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  <w:p w14:paraId="39C81580" w14:textId="51E9CC72" w:rsidR="00AF10B1" w:rsidRDefault="00AF10B1" w:rsidP="00AF1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4BEDA871" w14:textId="03BFB557" w:rsidR="00D01069" w:rsidRDefault="008D06A8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7763C1D3" w14:textId="27BD0180" w:rsidR="00D01069" w:rsidRDefault="00D01069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01069" w14:paraId="54C626CF" w14:textId="77777777" w:rsidTr="00577254">
        <w:trPr>
          <w:gridAfter w:val="1"/>
          <w:wAfter w:w="527" w:type="dxa"/>
          <w:trHeight w:val="4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7D3EBFF0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B56572A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Naknade građanima i kućanstvima na temelju osiguranja i druge naknade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6A5AE58F" w14:textId="77777777" w:rsidR="00D01069" w:rsidRDefault="00D01069" w:rsidP="00D01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3C25902B" w14:textId="2AD67216" w:rsidR="00D01069" w:rsidRDefault="008D06A8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14:paraId="081886B5" w14:textId="355494B7" w:rsidR="00D01069" w:rsidRDefault="008D06A8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14:paraId="2FF4935D" w14:textId="78E8B1AC" w:rsidR="00D01069" w:rsidRDefault="00D01069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01069" w14:paraId="7E2E0D9A" w14:textId="77777777" w:rsidTr="00577254">
        <w:trPr>
          <w:gridAfter w:val="1"/>
          <w:wAfter w:w="527" w:type="dxa"/>
          <w:trHeight w:val="4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50CBACBD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30AEAAD3" w14:textId="77777777" w:rsidR="00D01069" w:rsidRDefault="00D01069" w:rsidP="00D010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37DC242A" w14:textId="77777777" w:rsidR="00D01069" w:rsidRDefault="00D01069" w:rsidP="00D01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</w:tcPr>
          <w:p w14:paraId="13642BFD" w14:textId="5FC10268" w:rsidR="00D01069" w:rsidRDefault="008D06A8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</w:tcPr>
          <w:p w14:paraId="04F83C64" w14:textId="0550690E" w:rsidR="00D01069" w:rsidRDefault="008D06A8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3173A3" w14:textId="60101F81" w:rsidR="00D01069" w:rsidRDefault="00D01069" w:rsidP="00D01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47CCC189" w14:textId="77777777" w:rsidR="0053069F" w:rsidRDefault="0053069F">
      <w:pPr>
        <w:pStyle w:val="Heading5"/>
        <w:numPr>
          <w:ilvl w:val="0"/>
          <w:numId w:val="0"/>
        </w:numPr>
        <w:ind w:left="708"/>
      </w:pPr>
    </w:p>
    <w:p w14:paraId="15297086" w14:textId="77777777" w:rsidR="0053069F" w:rsidRDefault="008777F9">
      <w:pPr>
        <w:pStyle w:val="Heading5"/>
        <w:numPr>
          <w:ilvl w:val="0"/>
          <w:numId w:val="0"/>
        </w:numPr>
        <w:ind w:left="708"/>
      </w:pPr>
      <w:bookmarkStart w:id="10" w:name="_Toc943790"/>
      <w:r>
        <w:t>2.2.1. Rashodi za zaposlene</w:t>
      </w:r>
      <w:bookmarkEnd w:id="10"/>
      <w:r w:rsidR="000E59A4">
        <w:t xml:space="preserve"> - grupa konta 31 – </w:t>
      </w:r>
      <w:r w:rsidR="005672FC">
        <w:t>Šifra 31</w:t>
      </w:r>
      <w:r w:rsidR="000E59A4">
        <w:t xml:space="preserve">          </w:t>
      </w:r>
    </w:p>
    <w:p w14:paraId="71CE90A7" w14:textId="77777777" w:rsidR="0053069F" w:rsidRDefault="0053069F"/>
    <w:p w14:paraId="1C905DEB" w14:textId="156E0AF0" w:rsidR="0053069F" w:rsidRDefault="008777F9">
      <w:pPr>
        <w:spacing w:after="0"/>
        <w:rPr>
          <w:bCs/>
          <w:i/>
          <w:iCs/>
        </w:rPr>
      </w:pPr>
      <w:r>
        <w:rPr>
          <w:bCs/>
          <w:iCs/>
        </w:rPr>
        <w:t xml:space="preserve">Rashodi za zaposlene ostvareni su u ukupnom iznosu od </w:t>
      </w:r>
      <w:r w:rsidR="00640B2B">
        <w:rPr>
          <w:bCs/>
          <w:iCs/>
        </w:rPr>
        <w:t>69.120,59</w:t>
      </w:r>
      <w:r w:rsidR="0024752E">
        <w:rPr>
          <w:bCs/>
          <w:iCs/>
        </w:rPr>
        <w:t xml:space="preserve"> </w:t>
      </w:r>
      <w:r w:rsidR="0083562E">
        <w:rPr>
          <w:bCs/>
          <w:iCs/>
        </w:rPr>
        <w:t>€</w:t>
      </w:r>
      <w:r>
        <w:rPr>
          <w:bCs/>
          <w:iCs/>
        </w:rPr>
        <w:t xml:space="preserve"> i odnose se na</w:t>
      </w:r>
      <w:r>
        <w:rPr>
          <w:bCs/>
          <w:i/>
          <w:iCs/>
        </w:rPr>
        <w:t>:</w:t>
      </w:r>
    </w:p>
    <w:p w14:paraId="696FAE9A" w14:textId="77777777" w:rsidR="0053069F" w:rsidRDefault="0053069F">
      <w:pPr>
        <w:spacing w:after="0"/>
        <w:rPr>
          <w:bCs/>
          <w:iCs/>
        </w:rPr>
      </w:pPr>
    </w:p>
    <w:p w14:paraId="7C8A268E" w14:textId="3AA03AA2" w:rsidR="0053069F" w:rsidRDefault="009D7B4F">
      <w:pPr>
        <w:numPr>
          <w:ilvl w:val="0"/>
          <w:numId w:val="5"/>
        </w:numPr>
        <w:spacing w:after="0"/>
        <w:rPr>
          <w:bCs/>
          <w:iCs/>
        </w:rPr>
      </w:pPr>
      <w:r>
        <w:rPr>
          <w:bCs/>
          <w:iCs/>
        </w:rPr>
        <w:t>P</w:t>
      </w:r>
      <w:r w:rsidR="008777F9">
        <w:rPr>
          <w:bCs/>
          <w:iCs/>
        </w:rPr>
        <w:t>laće za redovan rad</w:t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  <w:t xml:space="preserve">      </w:t>
      </w:r>
      <w:r w:rsidR="004A0CA4">
        <w:rPr>
          <w:bCs/>
          <w:iCs/>
        </w:rPr>
        <w:t>56.477,80</w:t>
      </w:r>
      <w:r w:rsidR="0083562E">
        <w:rPr>
          <w:bCs/>
          <w:iCs/>
        </w:rPr>
        <w:t>€</w:t>
      </w:r>
    </w:p>
    <w:p w14:paraId="5AF602E8" w14:textId="72042970" w:rsidR="0053069F" w:rsidRDefault="009D7B4F">
      <w:pPr>
        <w:numPr>
          <w:ilvl w:val="0"/>
          <w:numId w:val="5"/>
        </w:numPr>
        <w:spacing w:after="0"/>
        <w:rPr>
          <w:b/>
          <w:bCs/>
          <w:iCs/>
        </w:rPr>
      </w:pPr>
      <w:r>
        <w:rPr>
          <w:bCs/>
          <w:iCs/>
        </w:rPr>
        <w:t>O</w:t>
      </w:r>
      <w:r w:rsidR="008777F9">
        <w:rPr>
          <w:bCs/>
          <w:iCs/>
        </w:rPr>
        <w:t>stali rashodi za zaposlene</w:t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  <w:t xml:space="preserve">      </w:t>
      </w:r>
      <w:r w:rsidR="0083562E">
        <w:rPr>
          <w:bCs/>
          <w:iCs/>
        </w:rPr>
        <w:t xml:space="preserve">  </w:t>
      </w:r>
      <w:r w:rsidR="004A0CA4">
        <w:rPr>
          <w:bCs/>
          <w:iCs/>
        </w:rPr>
        <w:t>3.050,97</w:t>
      </w:r>
      <w:r w:rsidR="0083562E">
        <w:rPr>
          <w:bCs/>
          <w:iCs/>
        </w:rPr>
        <w:t>€</w:t>
      </w:r>
    </w:p>
    <w:p w14:paraId="2ADA58B9" w14:textId="62F3CDE9" w:rsidR="0053069F" w:rsidRDefault="009D7B4F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D</w:t>
      </w:r>
      <w:r w:rsidR="008777F9">
        <w:rPr>
          <w:bCs/>
          <w:iCs/>
        </w:rPr>
        <w:t>oprinosi na plaće</w:t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  <w:t xml:space="preserve"> </w:t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t xml:space="preserve">       </w:t>
      </w:r>
      <w:r w:rsidR="004A0CA4">
        <w:t xml:space="preserve"> 9.591,82</w:t>
      </w:r>
      <w:r w:rsidR="0083562E">
        <w:t>€</w:t>
      </w:r>
    </w:p>
    <w:p w14:paraId="2411DB12" w14:textId="77777777" w:rsidR="004A0CA4" w:rsidRDefault="008777F9" w:rsidP="004A0CA4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 xml:space="preserve">Indeks </w:t>
      </w:r>
      <w:r w:rsidR="00CE1930">
        <w:rPr>
          <w:bCs/>
          <w:i/>
          <w:iCs/>
        </w:rPr>
        <w:t>šifre 31</w:t>
      </w:r>
      <w:r>
        <w:rPr>
          <w:bCs/>
          <w:i/>
          <w:iCs/>
        </w:rPr>
        <w:t xml:space="preserve"> iznosi </w:t>
      </w:r>
      <w:r w:rsidR="004A0CA4">
        <w:rPr>
          <w:bCs/>
          <w:i/>
          <w:iCs/>
        </w:rPr>
        <w:t>nema</w:t>
      </w:r>
      <w:r w:rsidR="00AC5881">
        <w:rPr>
          <w:bCs/>
          <w:i/>
          <w:iCs/>
        </w:rPr>
        <w:t xml:space="preserve"> – </w:t>
      </w:r>
      <w:r>
        <w:rPr>
          <w:bCs/>
          <w:i/>
          <w:iCs/>
        </w:rPr>
        <w:t xml:space="preserve"> rashoda za zaposlene </w:t>
      </w:r>
      <w:r w:rsidR="004A0CA4">
        <w:rPr>
          <w:bCs/>
          <w:i/>
          <w:iCs/>
        </w:rPr>
        <w:t>nisu iskazani u prošloj godini iz razloga što nije</w:t>
      </w:r>
    </w:p>
    <w:p w14:paraId="73EBC4AE" w14:textId="30ABF01A" w:rsidR="004A0CA4" w:rsidRDefault="004A0CA4" w:rsidP="004A0CA4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>bilo zaposlenika u 2022. godine . U 2023. godini je zaposleno četiri osobe.</w:t>
      </w:r>
    </w:p>
    <w:p w14:paraId="158A6DE7" w14:textId="10C30134" w:rsidR="0053069F" w:rsidRDefault="00AC5881" w:rsidP="00E94E95">
      <w:pPr>
        <w:jc w:val="both"/>
        <w:rPr>
          <w:bCs/>
          <w:i/>
          <w:iCs/>
        </w:rPr>
      </w:pPr>
      <w:r>
        <w:rPr>
          <w:bCs/>
          <w:i/>
          <w:iCs/>
        </w:rPr>
        <w:t>.</w:t>
      </w:r>
    </w:p>
    <w:p w14:paraId="7AA6EF56" w14:textId="77777777" w:rsidR="0053069F" w:rsidRDefault="0053069F">
      <w:pPr>
        <w:rPr>
          <w:bCs/>
          <w:i/>
          <w:iCs/>
        </w:rPr>
      </w:pPr>
    </w:p>
    <w:p w14:paraId="7138ADD3" w14:textId="77777777" w:rsidR="0053069F" w:rsidRDefault="0053069F">
      <w:pPr>
        <w:rPr>
          <w:bCs/>
          <w:i/>
          <w:iCs/>
        </w:rPr>
      </w:pPr>
    </w:p>
    <w:p w14:paraId="267173F6" w14:textId="77777777" w:rsidR="0053069F" w:rsidRDefault="008777F9">
      <w:pPr>
        <w:pStyle w:val="Heading5"/>
        <w:numPr>
          <w:ilvl w:val="0"/>
          <w:numId w:val="0"/>
        </w:numPr>
        <w:ind w:left="708"/>
      </w:pPr>
      <w:bookmarkStart w:id="11" w:name="_Toc943791"/>
      <w:r>
        <w:t>2.2.2. Materijalni rashodi</w:t>
      </w:r>
      <w:bookmarkEnd w:id="11"/>
      <w:r w:rsidR="000E59A4">
        <w:t xml:space="preserve"> - grupa konta 32 – </w:t>
      </w:r>
      <w:r w:rsidR="003E3907">
        <w:t>Šifra 32</w:t>
      </w:r>
      <w:r w:rsidR="000E59A4">
        <w:t xml:space="preserve">     </w:t>
      </w:r>
    </w:p>
    <w:p w14:paraId="697A6507" w14:textId="77777777" w:rsidR="0053069F" w:rsidRDefault="0053069F"/>
    <w:p w14:paraId="1782B462" w14:textId="77777777" w:rsidR="0053069F" w:rsidRDefault="008777F9">
      <w:pPr>
        <w:rPr>
          <w:bCs/>
          <w:iCs/>
        </w:rPr>
      </w:pPr>
      <w:r>
        <w:rPr>
          <w:bCs/>
          <w:iCs/>
        </w:rPr>
        <w:t>Materijalni rashodi se sastoje od:</w:t>
      </w:r>
    </w:p>
    <w:p w14:paraId="0C4ECA3A" w14:textId="71D30387" w:rsidR="0053069F" w:rsidRDefault="003B6C1E">
      <w:pPr>
        <w:numPr>
          <w:ilvl w:val="0"/>
          <w:numId w:val="5"/>
        </w:numPr>
        <w:spacing w:after="0"/>
        <w:rPr>
          <w:bCs/>
          <w:iCs/>
        </w:rPr>
      </w:pPr>
      <w:r>
        <w:rPr>
          <w:bCs/>
          <w:iCs/>
        </w:rPr>
        <w:t>Naknade troškova zaposlenima</w:t>
      </w:r>
      <w:r w:rsidR="008777F9">
        <w:rPr>
          <w:bCs/>
          <w:iCs/>
        </w:rPr>
        <w:tab/>
        <w:t xml:space="preserve">       </w:t>
      </w:r>
      <w:r w:rsidR="007B1B0B">
        <w:rPr>
          <w:bCs/>
          <w:iCs/>
        </w:rPr>
        <w:t xml:space="preserve">              </w:t>
      </w:r>
      <w:r w:rsidR="007B1B0B">
        <w:rPr>
          <w:bCs/>
          <w:iCs/>
        </w:rPr>
        <w:tab/>
      </w:r>
      <w:r w:rsidR="007B1B0B">
        <w:rPr>
          <w:bCs/>
          <w:iCs/>
        </w:rPr>
        <w:tab/>
      </w:r>
      <w:r w:rsidR="007B1B0B">
        <w:rPr>
          <w:bCs/>
          <w:iCs/>
        </w:rPr>
        <w:tab/>
      </w:r>
      <w:r w:rsidR="007B1B0B">
        <w:rPr>
          <w:bCs/>
          <w:iCs/>
        </w:rPr>
        <w:tab/>
        <w:t xml:space="preserve">  </w:t>
      </w:r>
      <w:r w:rsidR="00716D1A">
        <w:rPr>
          <w:bCs/>
          <w:iCs/>
        </w:rPr>
        <w:t xml:space="preserve">    </w:t>
      </w:r>
      <w:r w:rsidR="00D77CF8">
        <w:rPr>
          <w:bCs/>
          <w:iCs/>
        </w:rPr>
        <w:t>2.046,19</w:t>
      </w:r>
      <w:r w:rsidR="006F3F27">
        <w:rPr>
          <w:bCs/>
          <w:iCs/>
        </w:rPr>
        <w:t>€</w:t>
      </w:r>
    </w:p>
    <w:p w14:paraId="45B0D681" w14:textId="1F4D7DE7" w:rsidR="0053069F" w:rsidRDefault="003B6C1E">
      <w:pPr>
        <w:numPr>
          <w:ilvl w:val="0"/>
          <w:numId w:val="5"/>
        </w:numPr>
        <w:spacing w:after="0"/>
        <w:rPr>
          <w:bCs/>
          <w:iCs/>
        </w:rPr>
      </w:pPr>
      <w:r>
        <w:rPr>
          <w:bCs/>
          <w:iCs/>
        </w:rPr>
        <w:t>R</w:t>
      </w:r>
      <w:r w:rsidR="008777F9">
        <w:rPr>
          <w:bCs/>
          <w:iCs/>
        </w:rPr>
        <w:t>ashoda za materijal i energiju</w:t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>
        <w:rPr>
          <w:bCs/>
          <w:iCs/>
        </w:rPr>
        <w:t xml:space="preserve">   </w:t>
      </w:r>
      <w:r w:rsidR="006F3F27">
        <w:rPr>
          <w:bCs/>
          <w:iCs/>
        </w:rPr>
        <w:t xml:space="preserve">   </w:t>
      </w:r>
      <w:r w:rsidR="00D77CF8">
        <w:rPr>
          <w:bCs/>
          <w:iCs/>
        </w:rPr>
        <w:t>3.726,36</w:t>
      </w:r>
      <w:r w:rsidR="006F3F27">
        <w:rPr>
          <w:bCs/>
          <w:iCs/>
        </w:rPr>
        <w:t>€</w:t>
      </w:r>
    </w:p>
    <w:p w14:paraId="2C21FEFD" w14:textId="65E54A03" w:rsidR="0053069F" w:rsidRDefault="003B6C1E">
      <w:pPr>
        <w:numPr>
          <w:ilvl w:val="0"/>
          <w:numId w:val="5"/>
        </w:numPr>
        <w:spacing w:after="0"/>
        <w:rPr>
          <w:bCs/>
          <w:iCs/>
        </w:rPr>
      </w:pPr>
      <w:r>
        <w:rPr>
          <w:bCs/>
          <w:iCs/>
        </w:rPr>
        <w:t>R</w:t>
      </w:r>
      <w:r w:rsidR="008777F9">
        <w:rPr>
          <w:bCs/>
          <w:iCs/>
        </w:rPr>
        <w:t>ashoda za usluge</w:t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  <w:t xml:space="preserve">   </w:t>
      </w:r>
      <w:r w:rsidR="006F3F27">
        <w:rPr>
          <w:bCs/>
          <w:iCs/>
        </w:rPr>
        <w:t xml:space="preserve"> </w:t>
      </w:r>
      <w:r w:rsidR="00D77CF8">
        <w:rPr>
          <w:bCs/>
          <w:iCs/>
        </w:rPr>
        <w:t xml:space="preserve"> 21.</w:t>
      </w:r>
      <w:r w:rsidR="00F76080">
        <w:rPr>
          <w:bCs/>
          <w:iCs/>
        </w:rPr>
        <w:t>410</w:t>
      </w:r>
      <w:r w:rsidR="00D77CF8">
        <w:rPr>
          <w:bCs/>
          <w:iCs/>
        </w:rPr>
        <w:t>,</w:t>
      </w:r>
      <w:r w:rsidR="00F76080">
        <w:rPr>
          <w:bCs/>
          <w:iCs/>
        </w:rPr>
        <w:t>92</w:t>
      </w:r>
      <w:r w:rsidR="006F3F27">
        <w:rPr>
          <w:bCs/>
          <w:iCs/>
        </w:rPr>
        <w:t>€</w:t>
      </w:r>
    </w:p>
    <w:p w14:paraId="2F3FE782" w14:textId="6C789BC6" w:rsidR="0053069F" w:rsidRDefault="003B6C1E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O</w:t>
      </w:r>
      <w:r w:rsidR="008777F9">
        <w:rPr>
          <w:bCs/>
          <w:iCs/>
        </w:rPr>
        <w:t>stali nespomenuti rashodi poslovanja</w:t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</w:r>
      <w:r w:rsidR="008777F9">
        <w:rPr>
          <w:bCs/>
          <w:iCs/>
        </w:rPr>
        <w:tab/>
        <w:t xml:space="preserve">     </w:t>
      </w:r>
      <w:r w:rsidR="006F3F27">
        <w:rPr>
          <w:bCs/>
          <w:iCs/>
        </w:rPr>
        <w:t>1</w:t>
      </w:r>
      <w:r w:rsidR="00D77CF8">
        <w:rPr>
          <w:bCs/>
          <w:iCs/>
        </w:rPr>
        <w:t>1.887,77</w:t>
      </w:r>
      <w:r w:rsidR="006F3F27">
        <w:rPr>
          <w:bCs/>
          <w:iCs/>
        </w:rPr>
        <w:t>€</w:t>
      </w:r>
    </w:p>
    <w:p w14:paraId="41A13786" w14:textId="7843FC28" w:rsidR="0053069F" w:rsidRDefault="007B1B0B" w:rsidP="006F3F27">
      <w:pPr>
        <w:spacing w:after="0"/>
        <w:jc w:val="both"/>
        <w:rPr>
          <w:bCs/>
          <w:i/>
          <w:iCs/>
        </w:rPr>
      </w:pPr>
      <w:r>
        <w:rPr>
          <w:bCs/>
          <w:i/>
          <w:iCs/>
        </w:rPr>
        <w:t xml:space="preserve">Indeks </w:t>
      </w:r>
      <w:r w:rsidR="003B6C1E">
        <w:rPr>
          <w:bCs/>
          <w:i/>
          <w:iCs/>
        </w:rPr>
        <w:t>šifre 32</w:t>
      </w:r>
      <w:r>
        <w:rPr>
          <w:bCs/>
          <w:i/>
          <w:iCs/>
        </w:rPr>
        <w:t xml:space="preserve"> iznosi </w:t>
      </w:r>
      <w:r w:rsidR="00DF7101">
        <w:rPr>
          <w:bCs/>
          <w:i/>
          <w:iCs/>
        </w:rPr>
        <w:t>625,</w:t>
      </w:r>
      <w:r w:rsidR="00D03257">
        <w:rPr>
          <w:bCs/>
          <w:i/>
          <w:iCs/>
        </w:rPr>
        <w:t>8</w:t>
      </w:r>
      <w:r w:rsidR="008777F9">
        <w:rPr>
          <w:bCs/>
          <w:i/>
          <w:iCs/>
        </w:rPr>
        <w:t xml:space="preserve"> –</w:t>
      </w:r>
      <w:r w:rsidR="00DF7101">
        <w:rPr>
          <w:bCs/>
          <w:i/>
          <w:iCs/>
        </w:rPr>
        <w:t>JAVNE USTANOVE ZA PROSTORNO UREĐENJE GRADA SPLITA</w:t>
      </w:r>
      <w:r w:rsidR="006F3F27">
        <w:rPr>
          <w:bCs/>
          <w:i/>
          <w:iCs/>
        </w:rPr>
        <w:t xml:space="preserve"> </w:t>
      </w:r>
      <w:r w:rsidR="005C2E87">
        <w:rPr>
          <w:bCs/>
          <w:i/>
          <w:iCs/>
        </w:rPr>
        <w:t xml:space="preserve"> je u 202</w:t>
      </w:r>
      <w:r w:rsidR="006F3F27">
        <w:rPr>
          <w:bCs/>
          <w:i/>
          <w:iCs/>
        </w:rPr>
        <w:t>3</w:t>
      </w:r>
      <w:r w:rsidR="005C2E87">
        <w:rPr>
          <w:bCs/>
          <w:i/>
          <w:iCs/>
        </w:rPr>
        <w:t>.</w:t>
      </w:r>
      <w:r w:rsidR="003B6C1E">
        <w:rPr>
          <w:bCs/>
          <w:i/>
          <w:iCs/>
        </w:rPr>
        <w:t xml:space="preserve"> </w:t>
      </w:r>
      <w:r w:rsidR="005C2E87">
        <w:rPr>
          <w:bCs/>
          <w:i/>
          <w:iCs/>
        </w:rPr>
        <w:t xml:space="preserve">godini </w:t>
      </w:r>
      <w:r w:rsidR="006F3F27">
        <w:rPr>
          <w:bCs/>
          <w:i/>
          <w:iCs/>
        </w:rPr>
        <w:t>u odnosu na 2022 godinu iz razloga što su</w:t>
      </w:r>
      <w:r w:rsidR="00DF7101">
        <w:rPr>
          <w:bCs/>
          <w:i/>
          <w:iCs/>
        </w:rPr>
        <w:t xml:space="preserve"> Ustanova počela sa radom u 2023. godini.</w:t>
      </w:r>
    </w:p>
    <w:p w14:paraId="2D86D605" w14:textId="73984528" w:rsidR="006F3F27" w:rsidRDefault="006F3F27" w:rsidP="006F3F27">
      <w:pPr>
        <w:spacing w:after="0"/>
        <w:jc w:val="both"/>
        <w:rPr>
          <w:bCs/>
          <w:i/>
          <w:iCs/>
        </w:rPr>
      </w:pPr>
    </w:p>
    <w:p w14:paraId="53B8ACC1" w14:textId="77777777" w:rsidR="006F3F27" w:rsidRDefault="006F3F27" w:rsidP="00254EB8">
      <w:pPr>
        <w:jc w:val="both"/>
        <w:rPr>
          <w:bCs/>
          <w:i/>
          <w:iCs/>
        </w:rPr>
      </w:pPr>
    </w:p>
    <w:p w14:paraId="60DBEC97" w14:textId="77777777" w:rsidR="0053069F" w:rsidRDefault="008777F9">
      <w:pPr>
        <w:spacing w:after="0"/>
        <w:ind w:left="72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</w:t>
      </w:r>
      <w:r>
        <w:rPr>
          <w:bCs/>
          <w:iCs/>
        </w:rPr>
        <w:tab/>
      </w:r>
    </w:p>
    <w:p w14:paraId="70103FAF" w14:textId="77777777" w:rsidR="0053069F" w:rsidRDefault="008777F9">
      <w:pPr>
        <w:pStyle w:val="Heading5"/>
        <w:numPr>
          <w:ilvl w:val="0"/>
          <w:numId w:val="0"/>
        </w:numPr>
        <w:ind w:left="708"/>
      </w:pPr>
      <w:bookmarkStart w:id="12" w:name="_Toc943792"/>
      <w:r>
        <w:t>2.2.3. Financijski rashodi</w:t>
      </w:r>
      <w:bookmarkEnd w:id="12"/>
      <w:r w:rsidR="009B6F55">
        <w:t xml:space="preserve"> </w:t>
      </w:r>
      <w:r w:rsidR="009B6F55">
        <w:rPr>
          <w:rFonts w:asciiTheme="minorHAnsi" w:hAnsiTheme="minorHAnsi" w:cstheme="minorBidi"/>
          <w:bCs/>
          <w:i w:val="0"/>
          <w:iCs/>
          <w:szCs w:val="24"/>
        </w:rPr>
        <w:t xml:space="preserve"> - </w:t>
      </w:r>
      <w:r w:rsidR="009B6F55">
        <w:t xml:space="preserve">grupa konta 34 – </w:t>
      </w:r>
      <w:r w:rsidR="004D0A72">
        <w:t>Šifra 34</w:t>
      </w:r>
      <w:r w:rsidR="009B6F55">
        <w:t xml:space="preserve">     </w:t>
      </w:r>
    </w:p>
    <w:p w14:paraId="3A680CD1" w14:textId="77777777" w:rsidR="0053069F" w:rsidRDefault="0053069F"/>
    <w:p w14:paraId="44C08BA9" w14:textId="77777777" w:rsidR="0053069F" w:rsidRDefault="008777F9">
      <w:pPr>
        <w:rPr>
          <w:bCs/>
          <w:iCs/>
        </w:rPr>
      </w:pPr>
      <w:r>
        <w:rPr>
          <w:bCs/>
          <w:iCs/>
        </w:rPr>
        <w:t>Financijski rashodi se sastoje od:</w:t>
      </w:r>
    </w:p>
    <w:p w14:paraId="7AC45C13" w14:textId="063E89AE" w:rsidR="009B6F55" w:rsidRPr="006F3F27" w:rsidRDefault="00005932" w:rsidP="006F3F27">
      <w:pPr>
        <w:numPr>
          <w:ilvl w:val="0"/>
          <w:numId w:val="5"/>
        </w:numPr>
        <w:spacing w:after="0"/>
        <w:rPr>
          <w:bCs/>
          <w:i/>
          <w:iCs/>
        </w:rPr>
      </w:pPr>
      <w:r w:rsidRPr="006F3F27">
        <w:rPr>
          <w:bCs/>
          <w:iCs/>
        </w:rPr>
        <w:t>U</w:t>
      </w:r>
      <w:r w:rsidR="004D0A72" w:rsidRPr="006F3F27">
        <w:rPr>
          <w:bCs/>
          <w:iCs/>
        </w:rPr>
        <w:t>sluga banaka</w:t>
      </w:r>
      <w:r w:rsidR="004D0A72" w:rsidRPr="006F3F27">
        <w:rPr>
          <w:bCs/>
          <w:iCs/>
        </w:rPr>
        <w:tab/>
      </w:r>
      <w:r w:rsidR="004D0A72" w:rsidRPr="006F3F27">
        <w:rPr>
          <w:bCs/>
          <w:iCs/>
        </w:rPr>
        <w:tab/>
      </w:r>
      <w:r w:rsidR="004D0A72" w:rsidRPr="006F3F27">
        <w:rPr>
          <w:bCs/>
          <w:iCs/>
        </w:rPr>
        <w:tab/>
      </w:r>
      <w:r w:rsidR="004D0A72" w:rsidRPr="006F3F27">
        <w:rPr>
          <w:bCs/>
          <w:iCs/>
        </w:rPr>
        <w:tab/>
      </w:r>
      <w:r w:rsidR="004D0A72" w:rsidRPr="006F3F27">
        <w:rPr>
          <w:bCs/>
          <w:iCs/>
        </w:rPr>
        <w:tab/>
      </w:r>
      <w:r w:rsidR="004D0A72" w:rsidRPr="006F3F27">
        <w:rPr>
          <w:bCs/>
          <w:iCs/>
        </w:rPr>
        <w:tab/>
      </w:r>
      <w:r w:rsidR="004D0A72" w:rsidRPr="006F3F27">
        <w:rPr>
          <w:bCs/>
          <w:iCs/>
        </w:rPr>
        <w:tab/>
      </w:r>
      <w:r w:rsidR="004D0A72" w:rsidRPr="006F3F27">
        <w:rPr>
          <w:bCs/>
          <w:iCs/>
        </w:rPr>
        <w:tab/>
      </w:r>
      <w:r w:rsidR="006F3F27">
        <w:rPr>
          <w:bCs/>
          <w:iCs/>
        </w:rPr>
        <w:t xml:space="preserve">      </w:t>
      </w:r>
      <w:r w:rsidR="008C7EEB">
        <w:rPr>
          <w:bCs/>
          <w:iCs/>
        </w:rPr>
        <w:t xml:space="preserve">612,39 </w:t>
      </w:r>
      <w:r w:rsidR="006F3F27">
        <w:rPr>
          <w:bCs/>
          <w:iCs/>
        </w:rPr>
        <w:t>€</w:t>
      </w:r>
    </w:p>
    <w:p w14:paraId="3BEF7455" w14:textId="214C3768" w:rsidR="00936AED" w:rsidRDefault="009B6F55">
      <w:pPr>
        <w:rPr>
          <w:bCs/>
          <w:i/>
          <w:iCs/>
        </w:rPr>
      </w:pPr>
      <w:r>
        <w:rPr>
          <w:bCs/>
          <w:i/>
          <w:iCs/>
        </w:rPr>
        <w:t xml:space="preserve">Indeks </w:t>
      </w:r>
      <w:r w:rsidR="004D0A72">
        <w:rPr>
          <w:bCs/>
          <w:i/>
          <w:iCs/>
        </w:rPr>
        <w:t>šifre</w:t>
      </w:r>
      <w:r>
        <w:rPr>
          <w:bCs/>
          <w:i/>
          <w:iCs/>
        </w:rPr>
        <w:t xml:space="preserve"> iznosi </w:t>
      </w:r>
      <w:r w:rsidR="00DF7101">
        <w:rPr>
          <w:bCs/>
          <w:i/>
          <w:iCs/>
        </w:rPr>
        <w:t>362,8</w:t>
      </w:r>
      <w:r>
        <w:rPr>
          <w:bCs/>
          <w:i/>
          <w:iCs/>
        </w:rPr>
        <w:t xml:space="preserve"> – i razlog </w:t>
      </w:r>
      <w:r w:rsidR="003A43B8">
        <w:rPr>
          <w:bCs/>
          <w:i/>
          <w:iCs/>
        </w:rPr>
        <w:t>povećanja</w:t>
      </w:r>
      <w:r>
        <w:rPr>
          <w:bCs/>
          <w:i/>
          <w:iCs/>
        </w:rPr>
        <w:t xml:space="preserve"> </w:t>
      </w:r>
      <w:r w:rsidR="008777F9">
        <w:rPr>
          <w:bCs/>
          <w:i/>
          <w:iCs/>
        </w:rPr>
        <w:t xml:space="preserve">ove grupe rashoda je povećanje </w:t>
      </w:r>
      <w:r w:rsidR="00DF7101">
        <w:rPr>
          <w:bCs/>
          <w:i/>
          <w:iCs/>
        </w:rPr>
        <w:t xml:space="preserve">prometa novca po </w:t>
      </w:r>
      <w:r w:rsidR="008777F9">
        <w:rPr>
          <w:bCs/>
          <w:i/>
          <w:iCs/>
        </w:rPr>
        <w:t xml:space="preserve"> </w:t>
      </w:r>
      <w:r w:rsidR="00DF7101">
        <w:rPr>
          <w:bCs/>
          <w:i/>
          <w:iCs/>
        </w:rPr>
        <w:t>računu</w:t>
      </w:r>
      <w:r w:rsidR="003A43B8">
        <w:rPr>
          <w:bCs/>
          <w:i/>
          <w:iCs/>
        </w:rPr>
        <w:t xml:space="preserve"> </w:t>
      </w:r>
    </w:p>
    <w:p w14:paraId="7A788CEF" w14:textId="77777777" w:rsidR="0053069F" w:rsidRDefault="0053069F">
      <w:pPr>
        <w:pStyle w:val="Heading5"/>
        <w:numPr>
          <w:ilvl w:val="0"/>
          <w:numId w:val="0"/>
        </w:numPr>
        <w:ind w:left="1428" w:hanging="720"/>
      </w:pPr>
    </w:p>
    <w:p w14:paraId="210F71DA" w14:textId="77777777" w:rsidR="0053069F" w:rsidRDefault="008777F9" w:rsidP="00402452">
      <w:pPr>
        <w:pStyle w:val="Heading4"/>
        <w:numPr>
          <w:ilvl w:val="1"/>
          <w:numId w:val="8"/>
        </w:numPr>
      </w:pPr>
      <w:bookmarkStart w:id="13" w:name="_Toc943796"/>
      <w:r>
        <w:t>Rashodi za nabavu nefinancijske imovine</w:t>
      </w:r>
      <w:bookmarkEnd w:id="13"/>
    </w:p>
    <w:p w14:paraId="688F6A78" w14:textId="77777777" w:rsidR="0053069F" w:rsidRDefault="0053069F"/>
    <w:p w14:paraId="60F47939" w14:textId="1F248126" w:rsidR="0053069F" w:rsidRDefault="008777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hr-HR"/>
        </w:rPr>
      </w:pPr>
      <w:r>
        <w:rPr>
          <w:rFonts w:ascii="Calibri" w:eastAsia="Times New Roman" w:hAnsi="Calibri" w:cs="Times New Roman"/>
          <w:sz w:val="24"/>
          <w:szCs w:val="20"/>
          <w:lang w:eastAsia="hr-HR"/>
        </w:rPr>
        <w:lastRenderedPageBreak/>
        <w:t>U financijskim izvještajima za razdoblje od siječnja do prosinca 20</w:t>
      </w:r>
      <w:r w:rsidR="004D0E1A">
        <w:rPr>
          <w:rFonts w:ascii="Calibri" w:eastAsia="Times New Roman" w:hAnsi="Calibri" w:cs="Times New Roman"/>
          <w:sz w:val="24"/>
          <w:szCs w:val="20"/>
          <w:lang w:eastAsia="hr-HR"/>
        </w:rPr>
        <w:t>2</w:t>
      </w:r>
      <w:r w:rsidR="009B4461">
        <w:rPr>
          <w:rFonts w:ascii="Calibri" w:eastAsia="Times New Roman" w:hAnsi="Calibri" w:cs="Times New Roman"/>
          <w:sz w:val="24"/>
          <w:szCs w:val="20"/>
          <w:lang w:eastAsia="hr-HR"/>
        </w:rPr>
        <w:t>3</w:t>
      </w:r>
      <w:r>
        <w:rPr>
          <w:rFonts w:ascii="Calibri" w:eastAsia="Times New Roman" w:hAnsi="Calibri" w:cs="Times New Roman"/>
          <w:sz w:val="24"/>
          <w:szCs w:val="20"/>
          <w:lang w:eastAsia="hr-HR"/>
        </w:rPr>
        <w:t xml:space="preserve">. godine rashodi za nabavku nefinancijske imovine </w:t>
      </w:r>
      <w:r w:rsidR="002A39B0">
        <w:rPr>
          <w:rFonts w:ascii="Calibri" w:eastAsia="Times New Roman" w:hAnsi="Calibri" w:cs="Times New Roman"/>
          <w:sz w:val="24"/>
          <w:szCs w:val="20"/>
          <w:lang w:eastAsia="hr-HR"/>
        </w:rPr>
        <w:t>JAVNE USTANOVE ZAVODA ZA PROSTORNO UREĐENJE GRADA SPLITA</w:t>
      </w:r>
      <w:r w:rsidR="005F5DB6">
        <w:rPr>
          <w:rFonts w:ascii="Calibri" w:eastAsia="Times New Roman" w:hAnsi="Calibri" w:cs="Times New Roman"/>
          <w:sz w:val="24"/>
          <w:szCs w:val="20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eastAsia="hr-HR"/>
        </w:rPr>
        <w:t>evidentirani su u skladu s odredbama Pravilnika o proračunskom računovodstvu i Računskom planu i u cijelosti priznati u trenutku nabavke.</w:t>
      </w:r>
    </w:p>
    <w:p w14:paraId="1DDB74AC" w14:textId="77777777" w:rsidR="0053069F" w:rsidRDefault="0053069F"/>
    <w:tbl>
      <w:tblPr>
        <w:tblW w:w="92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"/>
        <w:gridCol w:w="4656"/>
        <w:gridCol w:w="629"/>
        <w:gridCol w:w="1209"/>
        <w:gridCol w:w="1210"/>
        <w:gridCol w:w="789"/>
      </w:tblGrid>
      <w:tr w:rsidR="0053069F" w14:paraId="623D11E0" w14:textId="77777777">
        <w:trPr>
          <w:trHeight w:val="108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80"/>
            </w:tcBorders>
            <w:shd w:val="pct25" w:color="C0C0C0" w:fill="FFFFFF"/>
          </w:tcPr>
          <w:p w14:paraId="0717B2B8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Račun iz rač. plana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80"/>
              <w:bottom w:val="nil"/>
              <w:right w:val="single" w:sz="6" w:space="0" w:color="000080"/>
            </w:tcBorders>
            <w:shd w:val="pct25" w:color="C0C0C0" w:fill="FFFFFF"/>
          </w:tcPr>
          <w:p w14:paraId="332FF438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Naziv stavke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80"/>
              <w:bottom w:val="nil"/>
              <w:right w:val="single" w:sz="6" w:space="0" w:color="000080"/>
            </w:tcBorders>
            <w:shd w:val="pct25" w:color="C0C0C0" w:fill="FFFFFF"/>
          </w:tcPr>
          <w:p w14:paraId="51B8C4BC" w14:textId="77777777" w:rsidR="0053069F" w:rsidRDefault="00DE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Šifra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80"/>
              <w:bottom w:val="nil"/>
              <w:right w:val="single" w:sz="6" w:space="0" w:color="000080"/>
            </w:tcBorders>
            <w:shd w:val="pct25" w:color="C0C0C0" w:fill="FFFFFF"/>
          </w:tcPr>
          <w:p w14:paraId="38604992" w14:textId="77777777" w:rsidR="0053069F" w:rsidRDefault="008777F9" w:rsidP="0020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Ostvareno u izvještajnom razdoblju preth</w:t>
            </w:r>
            <w:r w:rsidR="002059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odne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godine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80"/>
              <w:bottom w:val="nil"/>
              <w:right w:val="single" w:sz="6" w:space="0" w:color="000080"/>
            </w:tcBorders>
            <w:shd w:val="pct25" w:color="C0C0C0" w:fill="FFFFFF"/>
          </w:tcPr>
          <w:p w14:paraId="60F347BE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Ostvareno u izvještajnom razdoblju </w:t>
            </w:r>
          </w:p>
          <w:p w14:paraId="70143ED4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tekuće godine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00"/>
            </w:tcBorders>
            <w:shd w:val="pct25" w:color="C0C0C0" w:fill="FFFFFF"/>
          </w:tcPr>
          <w:p w14:paraId="53BB400E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  <w:p w14:paraId="5195286F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(5/4)</w:t>
            </w:r>
          </w:p>
        </w:tc>
      </w:tr>
      <w:tr w:rsidR="0053069F" w14:paraId="346F17C8" w14:textId="77777777">
        <w:trPr>
          <w:trHeight w:val="290"/>
        </w:trPr>
        <w:tc>
          <w:tcPr>
            <w:tcW w:w="7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80"/>
            </w:tcBorders>
            <w:shd w:val="solid" w:color="FFFFCC" w:fill="auto"/>
          </w:tcPr>
          <w:p w14:paraId="5BE39943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000080"/>
              <w:bottom w:val="single" w:sz="6" w:space="0" w:color="auto"/>
              <w:right w:val="single" w:sz="6" w:space="0" w:color="000080"/>
            </w:tcBorders>
            <w:shd w:val="solid" w:color="FFFFCC" w:fill="auto"/>
          </w:tcPr>
          <w:p w14:paraId="457B85D7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000080"/>
              <w:bottom w:val="single" w:sz="6" w:space="0" w:color="auto"/>
              <w:right w:val="single" w:sz="6" w:space="0" w:color="000080"/>
            </w:tcBorders>
            <w:shd w:val="solid" w:color="FFFFCC" w:fill="auto"/>
          </w:tcPr>
          <w:p w14:paraId="2ECA7587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000080"/>
              <w:bottom w:val="single" w:sz="6" w:space="0" w:color="auto"/>
              <w:right w:val="single" w:sz="6" w:space="0" w:color="000080"/>
            </w:tcBorders>
            <w:shd w:val="solid" w:color="FFFFCC" w:fill="auto"/>
          </w:tcPr>
          <w:p w14:paraId="280B8F84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000080"/>
              <w:bottom w:val="single" w:sz="6" w:space="0" w:color="auto"/>
              <w:right w:val="single" w:sz="6" w:space="0" w:color="000080"/>
            </w:tcBorders>
            <w:shd w:val="solid" w:color="FFFFCC" w:fill="auto"/>
          </w:tcPr>
          <w:p w14:paraId="5E8D7BC4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6" w:space="0" w:color="000080"/>
              <w:bottom w:val="single" w:sz="6" w:space="0" w:color="auto"/>
              <w:right w:val="single" w:sz="6" w:space="0" w:color="000000"/>
            </w:tcBorders>
            <w:shd w:val="solid" w:color="FFFFCC" w:fill="auto"/>
          </w:tcPr>
          <w:p w14:paraId="74D1EC9C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</w:t>
            </w:r>
          </w:p>
        </w:tc>
      </w:tr>
      <w:tr w:rsidR="0053069F" w14:paraId="2966129A" w14:textId="77777777">
        <w:trPr>
          <w:trHeight w:val="290"/>
        </w:trPr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C0C0C0"/>
              <w:right w:val="single" w:sz="6" w:space="0" w:color="000080"/>
            </w:tcBorders>
            <w:shd w:val="solid" w:color="C0C0C0" w:fill="auto"/>
          </w:tcPr>
          <w:p w14:paraId="24F017EB" w14:textId="77777777" w:rsidR="0053069F" w:rsidRDefault="0087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Rashodi za nabavu nefinancijske imovine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000080"/>
              <w:bottom w:val="single" w:sz="6" w:space="0" w:color="C0C0C0"/>
              <w:right w:val="single" w:sz="6" w:space="0" w:color="000080"/>
            </w:tcBorders>
            <w:shd w:val="solid" w:color="C0C0C0" w:fill="auto"/>
          </w:tcPr>
          <w:p w14:paraId="29D2580E" w14:textId="77777777" w:rsidR="0053069F" w:rsidRDefault="0053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000080"/>
              <w:bottom w:val="single" w:sz="6" w:space="0" w:color="C0C0C0"/>
              <w:right w:val="single" w:sz="6" w:space="0" w:color="000080"/>
            </w:tcBorders>
            <w:shd w:val="solid" w:color="C0C0C0" w:fill="auto"/>
          </w:tcPr>
          <w:p w14:paraId="0588E815" w14:textId="77777777" w:rsidR="0053069F" w:rsidRDefault="0053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000080"/>
              <w:bottom w:val="single" w:sz="6" w:space="0" w:color="C0C0C0"/>
              <w:right w:val="single" w:sz="6" w:space="0" w:color="000080"/>
            </w:tcBorders>
            <w:shd w:val="solid" w:color="C0C0C0" w:fill="auto"/>
          </w:tcPr>
          <w:p w14:paraId="703C1CAE" w14:textId="77777777" w:rsidR="0053069F" w:rsidRDefault="0053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000080"/>
              <w:bottom w:val="single" w:sz="6" w:space="0" w:color="C0C0C0"/>
              <w:right w:val="single" w:sz="6" w:space="0" w:color="000000"/>
            </w:tcBorders>
            <w:shd w:val="solid" w:color="C0C0C0" w:fill="auto"/>
          </w:tcPr>
          <w:p w14:paraId="4D25421C" w14:textId="77777777" w:rsidR="0053069F" w:rsidRDefault="0053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DE7026" w14:paraId="79F313CE" w14:textId="77777777">
        <w:trPr>
          <w:trHeight w:val="290"/>
        </w:trPr>
        <w:tc>
          <w:tcPr>
            <w:tcW w:w="773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80"/>
            </w:tcBorders>
          </w:tcPr>
          <w:p w14:paraId="4BE45D09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12D1F9DD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Rashodi za nabavu nefinancijske imovine </w:t>
            </w:r>
          </w:p>
        </w:tc>
        <w:tc>
          <w:tcPr>
            <w:tcW w:w="62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1C6B53BA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C77C223" w14:textId="5ACFBBA9" w:rsidR="00DE7026" w:rsidRDefault="006D7E2D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795FA210" w14:textId="4C9F4EF3" w:rsidR="00DE7026" w:rsidRDefault="006D7E2D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37.146,32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00"/>
            </w:tcBorders>
          </w:tcPr>
          <w:p w14:paraId="64D9287C" w14:textId="6E5F2D04" w:rsidR="00DE7026" w:rsidRDefault="00DE7026" w:rsidP="0033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7026" w14:paraId="55D20EB6" w14:textId="77777777">
        <w:trPr>
          <w:trHeight w:val="290"/>
        </w:trPr>
        <w:tc>
          <w:tcPr>
            <w:tcW w:w="773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80"/>
            </w:tcBorders>
          </w:tcPr>
          <w:p w14:paraId="7D4BC237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5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E66A5E6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Rashodi za nabavu neproizvedene dugotrajne imovine </w:t>
            </w:r>
          </w:p>
        </w:tc>
        <w:tc>
          <w:tcPr>
            <w:tcW w:w="62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22F75461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056CCF54" w14:textId="36C146BA" w:rsidR="00DE7026" w:rsidRDefault="003326A8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A5A84EF" w14:textId="70BAABA4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00"/>
            </w:tcBorders>
          </w:tcPr>
          <w:p w14:paraId="3DAAA03D" w14:textId="157C7168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7026" w14:paraId="7191AE76" w14:textId="77777777">
        <w:trPr>
          <w:trHeight w:val="290"/>
        </w:trPr>
        <w:tc>
          <w:tcPr>
            <w:tcW w:w="773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80"/>
            </w:tcBorders>
          </w:tcPr>
          <w:p w14:paraId="768B520D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5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9D7B92D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Rashodi za nabavu proizvedene dugotrajne imovine </w:t>
            </w:r>
          </w:p>
        </w:tc>
        <w:tc>
          <w:tcPr>
            <w:tcW w:w="62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3E7E850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2C80D4B" w14:textId="6BAF8F1C" w:rsidR="00DE7026" w:rsidRDefault="002A39B0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FB2D3FB" w14:textId="0E300F55" w:rsidR="00DE7026" w:rsidRDefault="002A39B0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37.146,32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00"/>
            </w:tcBorders>
          </w:tcPr>
          <w:p w14:paraId="4A7B26F0" w14:textId="445795EF" w:rsidR="00DE7026" w:rsidRDefault="00DE7026" w:rsidP="0033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7026" w14:paraId="2AB35F83" w14:textId="77777777">
        <w:trPr>
          <w:trHeight w:val="434"/>
        </w:trPr>
        <w:tc>
          <w:tcPr>
            <w:tcW w:w="773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80"/>
            </w:tcBorders>
          </w:tcPr>
          <w:p w14:paraId="7CDEC692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5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0974C9DA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Rashodi za nabavu plemenitih metala i ostalih pohranjenih vrijednosti </w:t>
            </w:r>
          </w:p>
        </w:tc>
        <w:tc>
          <w:tcPr>
            <w:tcW w:w="62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60705894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D122F52" w14:textId="77777777" w:rsidR="00DE7026" w:rsidRDefault="003326A8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14:paraId="5103224C" w14:textId="62D9F22A" w:rsidR="003326A8" w:rsidRDefault="003326A8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0047931B" w14:textId="744DD0EA" w:rsidR="00DE7026" w:rsidRDefault="002A39B0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00"/>
            </w:tcBorders>
          </w:tcPr>
          <w:p w14:paraId="54E32FF3" w14:textId="1165DE8B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7026" w14:paraId="35F459E9" w14:textId="77777777">
        <w:trPr>
          <w:trHeight w:val="290"/>
        </w:trPr>
        <w:tc>
          <w:tcPr>
            <w:tcW w:w="773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80"/>
            </w:tcBorders>
          </w:tcPr>
          <w:p w14:paraId="3E63EB79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5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1A4D545B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Rashodi za nabavu proizvedene kratkotrajne imovine </w:t>
            </w:r>
          </w:p>
        </w:tc>
        <w:tc>
          <w:tcPr>
            <w:tcW w:w="62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23A9E0E8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725E073" w14:textId="5117BD31" w:rsidR="003326A8" w:rsidRDefault="003326A8" w:rsidP="00332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13207026" w14:textId="42CC0EAC" w:rsidR="00DE7026" w:rsidRDefault="002A39B0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00"/>
            </w:tcBorders>
          </w:tcPr>
          <w:p w14:paraId="5E7B2982" w14:textId="5D1D5C0B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7026" w14:paraId="10ABF2DD" w14:textId="77777777" w:rsidTr="00C07B44">
        <w:trPr>
          <w:trHeight w:val="290"/>
        </w:trPr>
        <w:tc>
          <w:tcPr>
            <w:tcW w:w="773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80"/>
            </w:tcBorders>
          </w:tcPr>
          <w:p w14:paraId="7A2A18E2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5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C097CC1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Rashodi za dodatna ulaganja na nefinancijskoj imovini </w:t>
            </w:r>
          </w:p>
        </w:tc>
        <w:tc>
          <w:tcPr>
            <w:tcW w:w="62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303CC42" w14:textId="77777777" w:rsidR="00DE7026" w:rsidRDefault="00DE7026" w:rsidP="00DE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3BFD924" w14:textId="414A94B6" w:rsidR="00DE7026" w:rsidRDefault="002A39B0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01FA19C4" w14:textId="696BD2FB" w:rsidR="00DE7026" w:rsidRDefault="002A39B0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00"/>
            </w:tcBorders>
          </w:tcPr>
          <w:p w14:paraId="72BB25F4" w14:textId="40963710" w:rsidR="008303A6" w:rsidRDefault="008303A6" w:rsidP="0033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07B44" w14:paraId="464152EC" w14:textId="77777777">
        <w:trPr>
          <w:trHeight w:val="290"/>
        </w:trPr>
        <w:tc>
          <w:tcPr>
            <w:tcW w:w="773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80"/>
            </w:tcBorders>
          </w:tcPr>
          <w:p w14:paraId="2F90BE03" w14:textId="77777777" w:rsidR="00C07B44" w:rsidRDefault="00C07B44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6" w:type="dxa"/>
            <w:tcBorders>
              <w:top w:val="single" w:sz="6" w:space="0" w:color="C0C0C0"/>
              <w:left w:val="single" w:sz="6" w:space="0" w:color="000080"/>
              <w:bottom w:val="single" w:sz="6" w:space="0" w:color="000000"/>
              <w:right w:val="single" w:sz="6" w:space="0" w:color="000080"/>
            </w:tcBorders>
          </w:tcPr>
          <w:p w14:paraId="5ED635A1" w14:textId="77777777" w:rsidR="00C07B44" w:rsidRDefault="00C07B44" w:rsidP="00DE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6" w:space="0" w:color="C0C0C0"/>
              <w:left w:val="single" w:sz="6" w:space="0" w:color="000080"/>
              <w:bottom w:val="single" w:sz="6" w:space="0" w:color="000000"/>
              <w:right w:val="single" w:sz="6" w:space="0" w:color="000080"/>
            </w:tcBorders>
          </w:tcPr>
          <w:p w14:paraId="5AD458B3" w14:textId="77777777" w:rsidR="00C07B44" w:rsidRDefault="00C07B44" w:rsidP="00DE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C0C0C0"/>
              <w:left w:val="single" w:sz="6" w:space="0" w:color="000080"/>
              <w:bottom w:val="single" w:sz="6" w:space="0" w:color="000000"/>
              <w:right w:val="single" w:sz="6" w:space="0" w:color="000080"/>
            </w:tcBorders>
          </w:tcPr>
          <w:p w14:paraId="1F5BA47E" w14:textId="77777777" w:rsidR="00C07B44" w:rsidRDefault="00C07B44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C0C0C0"/>
              <w:left w:val="single" w:sz="6" w:space="0" w:color="000080"/>
              <w:bottom w:val="single" w:sz="6" w:space="0" w:color="000000"/>
              <w:right w:val="single" w:sz="6" w:space="0" w:color="000080"/>
            </w:tcBorders>
          </w:tcPr>
          <w:p w14:paraId="19C24AF8" w14:textId="77777777" w:rsidR="00C07B44" w:rsidRDefault="00C07B44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C0C0C0"/>
              <w:left w:val="single" w:sz="6" w:space="0" w:color="000080"/>
              <w:bottom w:val="single" w:sz="6" w:space="0" w:color="000000"/>
              <w:right w:val="single" w:sz="6" w:space="0" w:color="000000"/>
            </w:tcBorders>
          </w:tcPr>
          <w:p w14:paraId="4DC2D3BA" w14:textId="77777777" w:rsidR="00C07B44" w:rsidRDefault="00C07B44" w:rsidP="00DE7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3170518" w14:textId="77777777" w:rsidR="00402452" w:rsidRPr="00402452" w:rsidRDefault="00402452" w:rsidP="00402452">
      <w:pPr>
        <w:pStyle w:val="ListParagraph"/>
        <w:keepNext/>
        <w:numPr>
          <w:ilvl w:val="1"/>
          <w:numId w:val="2"/>
        </w:numPr>
        <w:spacing w:after="0" w:line="240" w:lineRule="auto"/>
        <w:contextualSpacing w:val="0"/>
        <w:outlineLvl w:val="1"/>
        <w:rPr>
          <w:bCs/>
          <w:i/>
          <w:iCs/>
          <w:vanish/>
          <w:sz w:val="28"/>
          <w:szCs w:val="28"/>
        </w:rPr>
      </w:pPr>
      <w:bookmarkStart w:id="14" w:name="_Toc943797"/>
    </w:p>
    <w:p w14:paraId="352B4FFF" w14:textId="77777777" w:rsidR="00402452" w:rsidRPr="00402452" w:rsidRDefault="00402452" w:rsidP="00402452">
      <w:pPr>
        <w:pStyle w:val="ListParagraph"/>
        <w:keepNext/>
        <w:numPr>
          <w:ilvl w:val="1"/>
          <w:numId w:val="2"/>
        </w:numPr>
        <w:spacing w:after="0" w:line="240" w:lineRule="auto"/>
        <w:contextualSpacing w:val="0"/>
        <w:outlineLvl w:val="1"/>
        <w:rPr>
          <w:bCs/>
          <w:i/>
          <w:iCs/>
          <w:vanish/>
          <w:sz w:val="28"/>
          <w:szCs w:val="28"/>
        </w:rPr>
      </w:pPr>
    </w:p>
    <w:p w14:paraId="59A8C127" w14:textId="77777777" w:rsidR="00402452" w:rsidRPr="00402452" w:rsidRDefault="00402452" w:rsidP="00402452">
      <w:pPr>
        <w:pStyle w:val="ListParagraph"/>
        <w:keepNext/>
        <w:numPr>
          <w:ilvl w:val="1"/>
          <w:numId w:val="2"/>
        </w:numPr>
        <w:spacing w:after="0" w:line="240" w:lineRule="auto"/>
        <w:contextualSpacing w:val="0"/>
        <w:outlineLvl w:val="1"/>
        <w:rPr>
          <w:bCs/>
          <w:i/>
          <w:iCs/>
          <w:vanish/>
          <w:sz w:val="28"/>
          <w:szCs w:val="28"/>
        </w:rPr>
      </w:pPr>
    </w:p>
    <w:bookmarkEnd w:id="14"/>
    <w:p w14:paraId="3326470E" w14:textId="77777777" w:rsidR="00402452" w:rsidRPr="00402452" w:rsidRDefault="00402452" w:rsidP="00402452"/>
    <w:p w14:paraId="7DB95473" w14:textId="77777777" w:rsidR="0053069F" w:rsidRDefault="0053069F"/>
    <w:p w14:paraId="49E9C885" w14:textId="77777777" w:rsidR="0053069F" w:rsidRDefault="008777F9" w:rsidP="00402452">
      <w:pPr>
        <w:pStyle w:val="Heading5"/>
        <w:numPr>
          <w:ilvl w:val="2"/>
          <w:numId w:val="8"/>
        </w:numPr>
        <w:ind w:left="1428"/>
      </w:pPr>
      <w:bookmarkStart w:id="15" w:name="_Toc943798"/>
      <w:r>
        <w:t>Rashodi za nabavu proizvedene dugotrajne imovine</w:t>
      </w:r>
      <w:bookmarkEnd w:id="15"/>
      <w:r w:rsidR="00BD0A4D">
        <w:t xml:space="preserve"> konta 42 – Šifra 42     </w:t>
      </w:r>
    </w:p>
    <w:p w14:paraId="28BE8330" w14:textId="77777777" w:rsidR="0053069F" w:rsidRDefault="0053069F">
      <w:pPr>
        <w:rPr>
          <w:bCs/>
          <w:i/>
          <w:iCs/>
        </w:rPr>
      </w:pPr>
    </w:p>
    <w:p w14:paraId="2FBB9F5B" w14:textId="48A9FEFB" w:rsidR="0053069F" w:rsidRDefault="008777F9">
      <w:pPr>
        <w:rPr>
          <w:bCs/>
          <w:iCs/>
        </w:rPr>
      </w:pPr>
      <w:r>
        <w:rPr>
          <w:bCs/>
          <w:iCs/>
        </w:rPr>
        <w:t xml:space="preserve">Rashodi za nabavu proizvedene dugotrajne imovine iznose </w:t>
      </w:r>
      <w:r w:rsidR="005F5DB6">
        <w:rPr>
          <w:bCs/>
          <w:iCs/>
        </w:rPr>
        <w:t>37.146,32</w:t>
      </w:r>
      <w:r w:rsidR="003E6402">
        <w:rPr>
          <w:bCs/>
          <w:iCs/>
        </w:rPr>
        <w:t xml:space="preserve"> €</w:t>
      </w:r>
      <w:r>
        <w:rPr>
          <w:bCs/>
          <w:iCs/>
        </w:rPr>
        <w:t>, a sastoje se  od :</w:t>
      </w:r>
    </w:p>
    <w:p w14:paraId="00343FE3" w14:textId="45A8C8F2" w:rsidR="00BD0A4D" w:rsidRDefault="00BD0A4D" w:rsidP="003E6402">
      <w:pPr>
        <w:spacing w:after="0"/>
        <w:ind w:left="643"/>
        <w:rPr>
          <w:bCs/>
          <w:iCs/>
        </w:rPr>
      </w:pPr>
    </w:p>
    <w:p w14:paraId="74D08E6C" w14:textId="1DDD95FC" w:rsidR="00B5101B" w:rsidRPr="00B5101B" w:rsidRDefault="005737E8" w:rsidP="00B5101B">
      <w:pPr>
        <w:numPr>
          <w:ilvl w:val="0"/>
          <w:numId w:val="5"/>
        </w:numPr>
        <w:spacing w:after="0"/>
        <w:rPr>
          <w:bCs/>
          <w:iCs/>
        </w:rPr>
      </w:pPr>
      <w:r>
        <w:rPr>
          <w:bCs/>
          <w:iCs/>
        </w:rPr>
        <w:t>Računala i računalna oprema</w:t>
      </w:r>
      <w:r w:rsidR="00B5101B">
        <w:rPr>
          <w:bCs/>
          <w:iCs/>
        </w:rPr>
        <w:t xml:space="preserve"> i programi</w:t>
      </w:r>
      <w:r>
        <w:rPr>
          <w:bCs/>
          <w:iCs/>
        </w:rPr>
        <w:tab/>
      </w:r>
      <w:r w:rsidRPr="00B5101B">
        <w:rPr>
          <w:bCs/>
          <w:iCs/>
        </w:rPr>
        <w:tab/>
      </w:r>
      <w:r w:rsidRPr="00B5101B">
        <w:rPr>
          <w:bCs/>
          <w:iCs/>
        </w:rPr>
        <w:tab/>
      </w:r>
      <w:r w:rsidR="00B5101B">
        <w:rPr>
          <w:bCs/>
          <w:iCs/>
        </w:rPr>
        <w:t xml:space="preserve">            32.804,16</w:t>
      </w:r>
      <w:r w:rsidRPr="00B5101B">
        <w:rPr>
          <w:bCs/>
          <w:iCs/>
        </w:rPr>
        <w:t xml:space="preserve"> </w:t>
      </w:r>
      <w:r w:rsidR="003E6402" w:rsidRPr="00B5101B">
        <w:rPr>
          <w:bCs/>
          <w:iCs/>
        </w:rPr>
        <w:t>€</w:t>
      </w:r>
      <w:r w:rsidR="00B5101B" w:rsidRPr="00B5101B">
        <w:rPr>
          <w:bCs/>
          <w:iCs/>
        </w:rPr>
        <w:t xml:space="preserve">                                                                                                           </w:t>
      </w:r>
    </w:p>
    <w:p w14:paraId="28AD8C46" w14:textId="5C6C7965" w:rsidR="005737E8" w:rsidRDefault="005737E8">
      <w:pPr>
        <w:numPr>
          <w:ilvl w:val="0"/>
          <w:numId w:val="5"/>
        </w:numPr>
        <w:spacing w:after="0"/>
        <w:rPr>
          <w:bCs/>
          <w:iCs/>
        </w:rPr>
      </w:pPr>
      <w:r>
        <w:rPr>
          <w:bCs/>
          <w:iCs/>
        </w:rPr>
        <w:t>Uredski namještaj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B5101B">
        <w:rPr>
          <w:bCs/>
          <w:iCs/>
        </w:rPr>
        <w:t xml:space="preserve">4.342,16 </w:t>
      </w:r>
      <w:r w:rsidR="003E6402">
        <w:rPr>
          <w:bCs/>
          <w:iCs/>
        </w:rPr>
        <w:t>€</w:t>
      </w:r>
    </w:p>
    <w:p w14:paraId="687C4D1A" w14:textId="68B40F89" w:rsidR="008E6AFB" w:rsidRDefault="008E6AFB" w:rsidP="00B5101B">
      <w:pPr>
        <w:spacing w:after="0"/>
        <w:ind w:left="283"/>
        <w:rPr>
          <w:bCs/>
          <w:iCs/>
        </w:rPr>
      </w:pPr>
    </w:p>
    <w:p w14:paraId="24EB31C6" w14:textId="42B36E38" w:rsidR="005737E8" w:rsidRDefault="005737E8" w:rsidP="00B5101B">
      <w:pPr>
        <w:spacing w:after="0"/>
        <w:ind w:left="643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</w:t>
      </w:r>
      <w:r w:rsidR="003E6402">
        <w:rPr>
          <w:bCs/>
          <w:iCs/>
        </w:rPr>
        <w:t xml:space="preserve">          </w:t>
      </w:r>
    </w:p>
    <w:p w14:paraId="397400B8" w14:textId="77777777" w:rsidR="00491D58" w:rsidRDefault="00491D58" w:rsidP="00635072">
      <w:pPr>
        <w:spacing w:after="0"/>
        <w:ind w:left="643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</w:t>
      </w:r>
    </w:p>
    <w:p w14:paraId="324C72C1" w14:textId="5A05E12B" w:rsidR="001635D6" w:rsidRDefault="00B5101B" w:rsidP="00DD094B">
      <w:p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</w:t>
      </w:r>
      <w:r w:rsidR="005737E8">
        <w:rPr>
          <w:bCs/>
          <w:i/>
          <w:iCs/>
          <w:sz w:val="24"/>
          <w:szCs w:val="24"/>
        </w:rPr>
        <w:t>abavljena su osnovna sredstva kako su navedena.</w:t>
      </w:r>
    </w:p>
    <w:p w14:paraId="0A13A1DA" w14:textId="2CC28416" w:rsidR="00F248BA" w:rsidRDefault="001635D6" w:rsidP="005378D6">
      <w:r>
        <w:rPr>
          <w:bCs/>
          <w:i/>
          <w:iCs/>
          <w:sz w:val="24"/>
          <w:szCs w:val="24"/>
        </w:rPr>
        <w:tab/>
      </w:r>
    </w:p>
    <w:p w14:paraId="2E34CF89" w14:textId="77777777" w:rsidR="0053069F" w:rsidRDefault="008777F9" w:rsidP="007F6F2A">
      <w:pPr>
        <w:pStyle w:val="Heading2"/>
        <w:numPr>
          <w:ilvl w:val="0"/>
          <w:numId w:val="8"/>
        </w:numPr>
      </w:pPr>
      <w:bookmarkStart w:id="16" w:name="_Toc943800"/>
      <w:r>
        <w:t>Bilješke uz obrazac P – VRIO</w:t>
      </w:r>
      <w:bookmarkEnd w:id="16"/>
    </w:p>
    <w:p w14:paraId="043DCAA1" w14:textId="77777777" w:rsidR="007308E7" w:rsidRPr="007308E7" w:rsidRDefault="007308E7" w:rsidP="007308E7">
      <w:pPr>
        <w:rPr>
          <w:lang w:eastAsia="hr-HR"/>
        </w:rPr>
      </w:pPr>
    </w:p>
    <w:p w14:paraId="1C4800A3" w14:textId="1D831656" w:rsidR="002877A9" w:rsidRDefault="004D4F8F" w:rsidP="002877A9">
      <w:pPr>
        <w:jc w:val="both"/>
        <w:rPr>
          <w:lang w:val="en-US" w:eastAsia="hr-HR"/>
        </w:rPr>
      </w:pPr>
      <w:bookmarkStart w:id="17" w:name="_Toc943801"/>
      <w:r>
        <w:rPr>
          <w:lang w:eastAsia="hr-HR"/>
        </w:rPr>
        <w:t xml:space="preserve">        </w:t>
      </w:r>
      <w:r w:rsidR="002877A9">
        <w:rPr>
          <w:lang w:eastAsia="hr-HR"/>
        </w:rPr>
        <w:t xml:space="preserve">U ovom obrascu </w:t>
      </w:r>
      <w:r w:rsidR="00A027A2">
        <w:rPr>
          <w:lang w:eastAsia="hr-HR"/>
        </w:rPr>
        <w:t>nije bilo promjene</w:t>
      </w:r>
    </w:p>
    <w:p w14:paraId="114D251D" w14:textId="77777777" w:rsidR="0053069F" w:rsidRDefault="008777F9" w:rsidP="007F6F2A">
      <w:pPr>
        <w:pStyle w:val="Heading2"/>
        <w:numPr>
          <w:ilvl w:val="0"/>
          <w:numId w:val="8"/>
        </w:numPr>
      </w:pPr>
      <w:r>
        <w:t>Bilješke uz obrazac BILANCA</w:t>
      </w:r>
      <w:bookmarkEnd w:id="17"/>
    </w:p>
    <w:p w14:paraId="57959057" w14:textId="77777777" w:rsidR="0053069F" w:rsidRDefault="0053069F">
      <w:pPr>
        <w:rPr>
          <w:lang w:eastAsia="hr-HR"/>
        </w:rPr>
      </w:pPr>
    </w:p>
    <w:p w14:paraId="1FCF4C66" w14:textId="77777777" w:rsidR="0053069F" w:rsidRDefault="004A5F2B">
      <w:pPr>
        <w:rPr>
          <w:b/>
          <w:i/>
          <w:lang w:eastAsia="hr-HR"/>
        </w:rPr>
      </w:pPr>
      <w:r>
        <w:rPr>
          <w:b/>
          <w:i/>
          <w:lang w:eastAsia="hr-HR"/>
        </w:rPr>
        <w:t xml:space="preserve">Šifra </w:t>
      </w:r>
      <w:r w:rsidR="00B14050">
        <w:rPr>
          <w:b/>
          <w:i/>
          <w:lang w:eastAsia="hr-HR"/>
        </w:rPr>
        <w:t>02</w:t>
      </w:r>
      <w:r w:rsidR="008777F9">
        <w:rPr>
          <w:b/>
          <w:i/>
          <w:lang w:eastAsia="hr-HR"/>
        </w:rPr>
        <w:t xml:space="preserve"> - </w:t>
      </w:r>
      <w:r w:rsidR="00B14050">
        <w:rPr>
          <w:b/>
          <w:i/>
          <w:lang w:eastAsia="hr-HR"/>
        </w:rPr>
        <w:t>Nep</w:t>
      </w:r>
      <w:r w:rsidR="008777F9">
        <w:rPr>
          <w:b/>
          <w:i/>
          <w:lang w:eastAsia="hr-HR"/>
        </w:rPr>
        <w:t>roizvedena dugotrajna imovina</w:t>
      </w:r>
    </w:p>
    <w:p w14:paraId="6EB2A305" w14:textId="6207CB9D" w:rsidR="0053069F" w:rsidRDefault="008777F9">
      <w:pPr>
        <w:jc w:val="both"/>
        <w:rPr>
          <w:lang w:eastAsia="hr-HR"/>
        </w:rPr>
      </w:pPr>
      <w:r>
        <w:rPr>
          <w:lang w:eastAsia="hr-HR"/>
        </w:rPr>
        <w:lastRenderedPageBreak/>
        <w:t xml:space="preserve">Sadašnja vrijednost proizvedene dugotrajne imovine </w:t>
      </w:r>
      <w:r w:rsidR="00604B8B">
        <w:rPr>
          <w:lang w:eastAsia="hr-HR"/>
        </w:rPr>
        <w:t>JAVNE USTANOVE ZAVODA ZA PROSTORNO UREĐENJE GRADA SPLITA</w:t>
      </w:r>
      <w:r>
        <w:rPr>
          <w:lang w:eastAsia="hr-HR"/>
        </w:rPr>
        <w:t xml:space="preserve"> dan 31.12.20</w:t>
      </w:r>
      <w:r w:rsidR="009036DC">
        <w:rPr>
          <w:lang w:eastAsia="hr-HR"/>
        </w:rPr>
        <w:t>2</w:t>
      </w:r>
      <w:r w:rsidR="004216B3">
        <w:rPr>
          <w:lang w:eastAsia="hr-HR"/>
        </w:rPr>
        <w:t>3</w:t>
      </w:r>
      <w:r>
        <w:rPr>
          <w:lang w:eastAsia="hr-HR"/>
        </w:rPr>
        <w:t xml:space="preserve">. godine iskazana je u vrijednosti od </w:t>
      </w:r>
      <w:r w:rsidR="009108C7">
        <w:rPr>
          <w:lang w:eastAsia="hr-HR"/>
        </w:rPr>
        <w:t>35.509,08</w:t>
      </w:r>
      <w:r w:rsidR="00234964">
        <w:rPr>
          <w:lang w:eastAsia="hr-HR"/>
        </w:rPr>
        <w:t xml:space="preserve"> </w:t>
      </w:r>
      <w:r w:rsidR="0055174F">
        <w:rPr>
          <w:lang w:eastAsia="hr-HR"/>
        </w:rPr>
        <w:t>€</w:t>
      </w:r>
      <w:r>
        <w:rPr>
          <w:lang w:eastAsia="hr-HR"/>
        </w:rPr>
        <w:t xml:space="preserve">, a prikaz </w:t>
      </w:r>
      <w:r>
        <w:rPr>
          <w:lang w:val="en-US" w:eastAsia="hr-HR"/>
        </w:rPr>
        <w:t xml:space="preserve">je </w:t>
      </w:r>
      <w:r>
        <w:rPr>
          <w:lang w:eastAsia="hr-HR"/>
        </w:rPr>
        <w:t xml:space="preserve">kretanja sredstava proizvedene dugotrajne imovine </w:t>
      </w:r>
      <w:r w:rsidR="0055174F">
        <w:rPr>
          <w:lang w:eastAsia="hr-HR"/>
        </w:rPr>
        <w:t xml:space="preserve">za </w:t>
      </w:r>
      <w:r w:rsidR="009108C7">
        <w:rPr>
          <w:lang w:eastAsia="hr-HR"/>
        </w:rPr>
        <w:t>JAVNU USTANOVU ZAVODA ZA PROSTORNO UREĐENJE GRADA SPLITA</w:t>
      </w:r>
      <w:r w:rsidR="0055174F">
        <w:rPr>
          <w:lang w:eastAsia="hr-HR"/>
        </w:rPr>
        <w:t xml:space="preserve"> </w:t>
      </w:r>
      <w:proofErr w:type="spellStart"/>
      <w:r w:rsidR="0055174F">
        <w:rPr>
          <w:lang w:eastAsia="hr-HR"/>
        </w:rPr>
        <w:t>tje</w:t>
      </w:r>
      <w:r>
        <w:rPr>
          <w:lang w:eastAsia="hr-HR"/>
        </w:rPr>
        <w:t>kom</w:t>
      </w:r>
      <w:proofErr w:type="spellEnd"/>
      <w:r>
        <w:rPr>
          <w:lang w:eastAsia="hr-HR"/>
        </w:rPr>
        <w:t xml:space="preserve"> 20</w:t>
      </w:r>
      <w:r w:rsidR="004D0E1A">
        <w:rPr>
          <w:lang w:eastAsia="hr-HR"/>
        </w:rPr>
        <w:t>2</w:t>
      </w:r>
      <w:r w:rsidR="0055174F">
        <w:rPr>
          <w:lang w:eastAsia="hr-HR"/>
        </w:rPr>
        <w:t>3</w:t>
      </w:r>
      <w:r>
        <w:rPr>
          <w:lang w:eastAsia="hr-HR"/>
        </w:rPr>
        <w:t>. godine.</w:t>
      </w:r>
    </w:p>
    <w:p w14:paraId="5624D8F9" w14:textId="77777777" w:rsidR="0053069F" w:rsidRDefault="0053069F">
      <w:pPr>
        <w:rPr>
          <w:b/>
          <w:i/>
          <w:lang w:eastAsia="hr-HR"/>
        </w:rPr>
      </w:pPr>
    </w:p>
    <w:p w14:paraId="53AC424B" w14:textId="77777777" w:rsidR="0053069F" w:rsidRDefault="00B14050">
      <w:pPr>
        <w:rPr>
          <w:b/>
          <w:i/>
          <w:lang w:eastAsia="hr-HR"/>
        </w:rPr>
      </w:pPr>
      <w:r>
        <w:rPr>
          <w:b/>
          <w:i/>
          <w:lang w:eastAsia="hr-HR"/>
        </w:rPr>
        <w:t>Šifra 11</w:t>
      </w:r>
      <w:r w:rsidR="008777F9">
        <w:rPr>
          <w:b/>
          <w:i/>
          <w:lang w:eastAsia="hr-HR"/>
        </w:rPr>
        <w:t xml:space="preserve"> - Novac u banci i blagajni</w:t>
      </w:r>
    </w:p>
    <w:p w14:paraId="127811D6" w14:textId="0DF58CF0" w:rsidR="0053069F" w:rsidRDefault="008777F9">
      <w:pPr>
        <w:jc w:val="both"/>
        <w:rPr>
          <w:b/>
          <w:i/>
          <w:lang w:eastAsia="hr-HR"/>
        </w:rPr>
      </w:pPr>
      <w:r>
        <w:rPr>
          <w:lang w:eastAsia="hr-HR"/>
        </w:rPr>
        <w:t xml:space="preserve">U okviru </w:t>
      </w:r>
      <w:r w:rsidR="00E70256">
        <w:rPr>
          <w:lang w:eastAsia="hr-HR"/>
        </w:rPr>
        <w:t xml:space="preserve">šifre </w:t>
      </w:r>
      <w:r w:rsidR="00604B8B">
        <w:rPr>
          <w:lang w:eastAsia="hr-HR"/>
        </w:rPr>
        <w:t>11</w:t>
      </w:r>
      <w:r>
        <w:rPr>
          <w:lang w:eastAsia="hr-HR"/>
        </w:rPr>
        <w:t xml:space="preserve"> iskazana su ukupna sredstva na računu</w:t>
      </w:r>
      <w:r w:rsidR="00E70256">
        <w:rPr>
          <w:lang w:eastAsia="hr-HR"/>
        </w:rPr>
        <w:t xml:space="preserve"> </w:t>
      </w:r>
      <w:r w:rsidR="00604B8B">
        <w:rPr>
          <w:lang w:eastAsia="hr-HR"/>
        </w:rPr>
        <w:t>JAVNE USTANOVE ZAVODA ZA PROSTORNO UREĐENJE GRADA SPLITA</w:t>
      </w:r>
      <w:r>
        <w:rPr>
          <w:lang w:eastAsia="hr-HR"/>
        </w:rPr>
        <w:t xml:space="preserve"> u iznosu od </w:t>
      </w:r>
      <w:r w:rsidR="002C3F88">
        <w:rPr>
          <w:lang w:eastAsia="hr-HR"/>
        </w:rPr>
        <w:t xml:space="preserve">227,20 </w:t>
      </w:r>
      <w:r w:rsidR="00E70256">
        <w:rPr>
          <w:lang w:eastAsia="hr-HR"/>
        </w:rPr>
        <w:t>€</w:t>
      </w:r>
      <w:r w:rsidR="00B14050">
        <w:rPr>
          <w:lang w:eastAsia="hr-HR"/>
        </w:rPr>
        <w:t xml:space="preserve"> </w:t>
      </w:r>
    </w:p>
    <w:p w14:paraId="1BC09952" w14:textId="77777777" w:rsidR="005F7D22" w:rsidRDefault="005F7D22" w:rsidP="005F7D22">
      <w:pPr>
        <w:rPr>
          <w:b/>
          <w:i/>
          <w:lang w:eastAsia="hr-HR"/>
        </w:rPr>
      </w:pPr>
    </w:p>
    <w:p w14:paraId="4C5BBB90" w14:textId="77777777" w:rsidR="005F7D22" w:rsidRDefault="005F7D22" w:rsidP="005F7D22">
      <w:pPr>
        <w:rPr>
          <w:b/>
          <w:i/>
          <w:lang w:eastAsia="hr-HR"/>
        </w:rPr>
      </w:pPr>
    </w:p>
    <w:p w14:paraId="69588A0A" w14:textId="46C69C01" w:rsidR="005F7D22" w:rsidRDefault="008777F9" w:rsidP="005F7D22">
      <w:pPr>
        <w:rPr>
          <w:b/>
          <w:i/>
          <w:lang w:eastAsia="hr-HR"/>
        </w:rPr>
      </w:pPr>
      <w:r>
        <w:rPr>
          <w:b/>
          <w:i/>
          <w:lang w:eastAsia="hr-HR"/>
        </w:rPr>
        <w:t xml:space="preserve">Obveze Ustanove </w:t>
      </w:r>
      <w:r w:rsidR="00F13B7B">
        <w:rPr>
          <w:b/>
          <w:i/>
          <w:lang w:eastAsia="hr-HR"/>
        </w:rPr>
        <w:t>–</w:t>
      </w:r>
      <w:r>
        <w:rPr>
          <w:b/>
          <w:i/>
          <w:lang w:eastAsia="hr-HR"/>
        </w:rPr>
        <w:t xml:space="preserve"> </w:t>
      </w:r>
      <w:r w:rsidR="00F13B7B">
        <w:rPr>
          <w:b/>
          <w:i/>
          <w:lang w:eastAsia="hr-HR"/>
        </w:rPr>
        <w:t>Šifra 2</w:t>
      </w:r>
      <w:r>
        <w:rPr>
          <w:b/>
          <w:i/>
          <w:lang w:eastAsia="hr-HR"/>
        </w:rPr>
        <w:t xml:space="preserve"> - Obveze </w:t>
      </w:r>
    </w:p>
    <w:p w14:paraId="76E1580D" w14:textId="1DB1B96B" w:rsidR="0053069F" w:rsidRDefault="008777F9" w:rsidP="005F7D22">
      <w:pPr>
        <w:rPr>
          <w:b/>
          <w:i/>
          <w:lang w:eastAsia="hr-HR"/>
        </w:rPr>
      </w:pPr>
      <w:r>
        <w:rPr>
          <w:lang w:eastAsia="hr-HR"/>
        </w:rPr>
        <w:t>Ukupne obveze za rashode poslovanja na dan 31.12.20</w:t>
      </w:r>
      <w:r w:rsidR="009E4F17">
        <w:rPr>
          <w:lang w:eastAsia="hr-HR"/>
        </w:rPr>
        <w:t>2</w:t>
      </w:r>
      <w:r w:rsidR="00D16B4F">
        <w:rPr>
          <w:lang w:eastAsia="hr-HR"/>
        </w:rPr>
        <w:t>3</w:t>
      </w:r>
      <w:r>
        <w:rPr>
          <w:lang w:eastAsia="hr-HR"/>
        </w:rPr>
        <w:t xml:space="preserve">. iznose </w:t>
      </w:r>
      <w:r w:rsidR="005F7D22">
        <w:rPr>
          <w:lang w:eastAsia="hr-HR"/>
        </w:rPr>
        <w:t>14.</w:t>
      </w:r>
      <w:r w:rsidR="000F7F12">
        <w:rPr>
          <w:lang w:eastAsia="hr-HR"/>
        </w:rPr>
        <w:t>583</w:t>
      </w:r>
      <w:r w:rsidR="005F7D22">
        <w:rPr>
          <w:lang w:eastAsia="hr-HR"/>
        </w:rPr>
        <w:t>,07</w:t>
      </w:r>
      <w:r w:rsidR="00234964">
        <w:rPr>
          <w:lang w:eastAsia="hr-HR"/>
        </w:rPr>
        <w:t xml:space="preserve"> </w:t>
      </w:r>
      <w:r w:rsidR="00D16B4F">
        <w:rPr>
          <w:lang w:eastAsia="hr-HR"/>
        </w:rPr>
        <w:t>€</w:t>
      </w:r>
      <w:r>
        <w:rPr>
          <w:lang w:val="en-US" w:eastAsia="hr-HR"/>
        </w:rPr>
        <w:t xml:space="preserve"> </w:t>
      </w:r>
      <w:r>
        <w:rPr>
          <w:lang w:eastAsia="hr-HR"/>
        </w:rPr>
        <w:t>a odnose se uglavnom na obveze za</w:t>
      </w:r>
      <w:r w:rsidR="004F3A6D">
        <w:rPr>
          <w:lang w:eastAsia="hr-HR"/>
        </w:rPr>
        <w:t xml:space="preserve"> obveze za zaposlene</w:t>
      </w:r>
      <w:r w:rsidR="005F7D22">
        <w:rPr>
          <w:lang w:eastAsia="hr-HR"/>
        </w:rPr>
        <w:t xml:space="preserve"> i računima</w:t>
      </w:r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sukladno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zakonskim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propisima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moraju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biti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proknjiženi</w:t>
      </w:r>
      <w:proofErr w:type="spellEnd"/>
      <w:r>
        <w:rPr>
          <w:lang w:val="en-US" w:eastAsia="hr-HR"/>
        </w:rPr>
        <w:t xml:space="preserve"> u 20</w:t>
      </w:r>
      <w:r w:rsidR="004F3A6D">
        <w:rPr>
          <w:lang w:val="en-US" w:eastAsia="hr-HR"/>
        </w:rPr>
        <w:t>2</w:t>
      </w:r>
      <w:r w:rsidR="00D16B4F">
        <w:rPr>
          <w:lang w:val="en-US" w:eastAsia="hr-HR"/>
        </w:rPr>
        <w:t>3</w:t>
      </w:r>
      <w:r>
        <w:rPr>
          <w:lang w:val="en-US" w:eastAsia="hr-HR"/>
        </w:rPr>
        <w:t xml:space="preserve">. </w:t>
      </w:r>
      <w:proofErr w:type="spellStart"/>
      <w:r>
        <w:rPr>
          <w:lang w:val="en-US" w:eastAsia="hr-HR"/>
        </w:rPr>
        <w:t>godinu</w:t>
      </w:r>
      <w:proofErr w:type="spellEnd"/>
      <w:r>
        <w:rPr>
          <w:lang w:val="en-US" w:eastAsia="hr-HR"/>
        </w:rPr>
        <w:t xml:space="preserve">. </w:t>
      </w:r>
      <w:r>
        <w:rPr>
          <w:lang w:eastAsia="hr-HR"/>
        </w:rPr>
        <w:t>Do trenutka sastavljanja godišnjeg financijskog izvještaja uglavnom su sve obveze bile podmirene.</w:t>
      </w:r>
    </w:p>
    <w:p w14:paraId="3DFBE30F" w14:textId="77777777" w:rsidR="0053069F" w:rsidRDefault="008735DB">
      <w:pPr>
        <w:rPr>
          <w:b/>
          <w:i/>
          <w:lang w:eastAsia="hr-HR"/>
        </w:rPr>
      </w:pPr>
      <w:r>
        <w:rPr>
          <w:b/>
          <w:i/>
          <w:lang w:eastAsia="hr-HR"/>
        </w:rPr>
        <w:t>Šifra 9221</w:t>
      </w:r>
      <w:r w:rsidR="006E7F18">
        <w:rPr>
          <w:b/>
          <w:i/>
          <w:lang w:eastAsia="hr-HR"/>
        </w:rPr>
        <w:t xml:space="preserve"> / </w:t>
      </w:r>
      <w:r>
        <w:rPr>
          <w:b/>
          <w:i/>
          <w:lang w:eastAsia="hr-HR"/>
        </w:rPr>
        <w:t>Šifra 9222</w:t>
      </w:r>
      <w:r w:rsidR="008777F9">
        <w:rPr>
          <w:b/>
          <w:i/>
          <w:lang w:eastAsia="hr-HR"/>
        </w:rPr>
        <w:t xml:space="preserve"> - Višak prihoda poslovanja /Manjak prihoda od nefinancijske imovine</w:t>
      </w:r>
    </w:p>
    <w:p w14:paraId="2862D77E" w14:textId="59B5B776" w:rsidR="00AF75EB" w:rsidRDefault="008777F9">
      <w:pPr>
        <w:jc w:val="both"/>
        <w:rPr>
          <w:lang w:eastAsia="hr-HR"/>
        </w:rPr>
      </w:pPr>
      <w:r>
        <w:rPr>
          <w:lang w:eastAsia="hr-HR"/>
        </w:rPr>
        <w:t>Na dan 31.12.20</w:t>
      </w:r>
      <w:r w:rsidR="009E4F17">
        <w:rPr>
          <w:lang w:eastAsia="hr-HR"/>
        </w:rPr>
        <w:t>2</w:t>
      </w:r>
      <w:r w:rsidR="00D16B4F">
        <w:rPr>
          <w:lang w:eastAsia="hr-HR"/>
        </w:rPr>
        <w:t>3</w:t>
      </w:r>
      <w:r>
        <w:rPr>
          <w:lang w:eastAsia="hr-HR"/>
        </w:rPr>
        <w:t xml:space="preserve">. godine </w:t>
      </w:r>
      <w:r w:rsidR="00CB2B1B">
        <w:rPr>
          <w:lang w:eastAsia="hr-HR"/>
        </w:rPr>
        <w:t>JAVNA USTANOVA ZAVODA ZA PROSTORNO UREĐENJE GRADA SPLITA</w:t>
      </w:r>
      <w:r>
        <w:rPr>
          <w:lang w:eastAsia="hr-HR"/>
        </w:rPr>
        <w:t xml:space="preserve"> je ostvarila </w:t>
      </w:r>
      <w:r w:rsidR="00AF75EB">
        <w:rPr>
          <w:lang w:eastAsia="hr-HR"/>
        </w:rPr>
        <w:t>manjak</w:t>
      </w:r>
      <w:r>
        <w:rPr>
          <w:lang w:eastAsia="hr-HR"/>
        </w:rPr>
        <w:t xml:space="preserve"> prihoda poslovanja od </w:t>
      </w:r>
      <w:r w:rsidR="00333540">
        <w:rPr>
          <w:lang w:eastAsia="hr-HR"/>
        </w:rPr>
        <w:t>14.3</w:t>
      </w:r>
      <w:r w:rsidR="00D25ABC">
        <w:rPr>
          <w:lang w:eastAsia="hr-HR"/>
        </w:rPr>
        <w:t>04</w:t>
      </w:r>
      <w:r w:rsidR="00333540">
        <w:rPr>
          <w:lang w:eastAsia="hr-HR"/>
        </w:rPr>
        <w:t>,67</w:t>
      </w:r>
      <w:r w:rsidR="001553DC">
        <w:rPr>
          <w:lang w:eastAsia="hr-HR"/>
        </w:rPr>
        <w:t xml:space="preserve"> </w:t>
      </w:r>
      <w:r w:rsidR="00D16B4F">
        <w:rPr>
          <w:lang w:eastAsia="hr-HR"/>
        </w:rPr>
        <w:t>€</w:t>
      </w:r>
      <w:r>
        <w:rPr>
          <w:lang w:eastAsia="hr-HR"/>
        </w:rPr>
        <w:t xml:space="preserve"> </w:t>
      </w:r>
      <w:r w:rsidR="00466C37">
        <w:rPr>
          <w:lang w:eastAsia="hr-HR"/>
        </w:rPr>
        <w:t>.</w:t>
      </w:r>
    </w:p>
    <w:p w14:paraId="03428581" w14:textId="5C48EC86" w:rsidR="0053069F" w:rsidRDefault="00506F48" w:rsidP="00506F48">
      <w:pPr>
        <w:spacing w:after="0"/>
        <w:jc w:val="both"/>
        <w:rPr>
          <w:lang w:eastAsia="hr-HR"/>
        </w:rPr>
      </w:pPr>
      <w:r>
        <w:rPr>
          <w:lang w:eastAsia="hr-HR"/>
        </w:rPr>
        <w:t>Prema čl. 70. st.2. Zakona o uvođenju eura kao službene kao službe valute u Republici Hrvatskoj (Nar.nov.,br.57/22.,88/22.)stanja u kunama prenesena iz poslovnih knjiga za 2022.godinu preračunavaju se u euro uz primjenu fiksnog tečaja konverzije 1 euro=7,53450 kuna i sukladno pravilima za preračunavanje i zaokruženje.</w:t>
      </w:r>
    </w:p>
    <w:p w14:paraId="694B6FC9" w14:textId="77777777" w:rsidR="005E0E5D" w:rsidRDefault="005E0E5D" w:rsidP="00506F48">
      <w:pPr>
        <w:spacing w:after="0"/>
        <w:jc w:val="both"/>
        <w:rPr>
          <w:lang w:eastAsia="hr-HR"/>
        </w:rPr>
      </w:pPr>
    </w:p>
    <w:p w14:paraId="250322CF" w14:textId="34707D7C" w:rsidR="00506F48" w:rsidRDefault="00506F48" w:rsidP="00506F48">
      <w:pPr>
        <w:spacing w:after="0"/>
        <w:jc w:val="both"/>
        <w:rPr>
          <w:lang w:eastAsia="hr-HR"/>
        </w:rPr>
      </w:pPr>
      <w:r>
        <w:rPr>
          <w:lang w:eastAsia="hr-HR"/>
        </w:rPr>
        <w:t xml:space="preserve">Sukladno čl.70.st. 4 Zakona o euru, razlike do kojih će doći zbog pravila za preračunavanje i zaokruživanje iz kune u euro, evidentiraju se u poslovnim knjigama u skladu s računovodstvenim standardima odnosno u skladu sa zakonskim </w:t>
      </w:r>
      <w:r w:rsidR="009E3549">
        <w:rPr>
          <w:lang w:eastAsia="hr-HR"/>
        </w:rPr>
        <w:t>i podzakonskim propisima.</w:t>
      </w:r>
    </w:p>
    <w:p w14:paraId="19C9F540" w14:textId="5C43C197" w:rsidR="009E3549" w:rsidRDefault="009E3549" w:rsidP="00506F48">
      <w:pPr>
        <w:spacing w:after="0"/>
        <w:jc w:val="both"/>
        <w:rPr>
          <w:lang w:eastAsia="hr-HR"/>
        </w:rPr>
      </w:pPr>
      <w:r>
        <w:rPr>
          <w:lang w:eastAsia="hr-HR"/>
        </w:rPr>
        <w:t>Prilikom preračuna zaključnih stanja u kunama na dan 31.12.2022 u početna stanja u eurima na dan 01.01.2023. nije bilo razlika te nije bilo potrebe knjiženja na izvorima .</w:t>
      </w:r>
    </w:p>
    <w:p w14:paraId="397DFB44" w14:textId="45CB827C" w:rsidR="00506F48" w:rsidRDefault="00506F48">
      <w:pPr>
        <w:jc w:val="both"/>
        <w:rPr>
          <w:lang w:eastAsia="hr-HR"/>
        </w:rPr>
      </w:pPr>
    </w:p>
    <w:p w14:paraId="402D6139" w14:textId="77777777" w:rsidR="008F232F" w:rsidRDefault="008F232F">
      <w:pPr>
        <w:jc w:val="both"/>
        <w:rPr>
          <w:lang w:eastAsia="hr-HR"/>
        </w:rPr>
      </w:pPr>
    </w:p>
    <w:p w14:paraId="642DD050" w14:textId="77777777" w:rsidR="008F232F" w:rsidRDefault="008F232F">
      <w:pPr>
        <w:jc w:val="both"/>
        <w:rPr>
          <w:lang w:eastAsia="hr-HR"/>
        </w:rPr>
      </w:pPr>
    </w:p>
    <w:p w14:paraId="506416E4" w14:textId="77777777" w:rsidR="008F232F" w:rsidRDefault="008F232F">
      <w:pPr>
        <w:jc w:val="both"/>
        <w:rPr>
          <w:lang w:eastAsia="hr-HR"/>
        </w:rPr>
      </w:pPr>
    </w:p>
    <w:p w14:paraId="61D4553B" w14:textId="77777777" w:rsidR="008F232F" w:rsidRDefault="008F232F">
      <w:pPr>
        <w:jc w:val="both"/>
        <w:rPr>
          <w:lang w:eastAsia="hr-HR"/>
        </w:rPr>
      </w:pPr>
    </w:p>
    <w:p w14:paraId="358A7CB9" w14:textId="77777777" w:rsidR="00D95F75" w:rsidRDefault="00D95F75" w:rsidP="001A05D2">
      <w:pPr>
        <w:rPr>
          <w:b/>
          <w:bCs/>
        </w:rPr>
      </w:pPr>
    </w:p>
    <w:p w14:paraId="18B5D9BA" w14:textId="5D66384B" w:rsidR="001A05D2" w:rsidRPr="005E0E5D" w:rsidRDefault="001A05D2" w:rsidP="001A05D2">
      <w:pPr>
        <w:rPr>
          <w:b/>
          <w:bCs/>
        </w:rPr>
      </w:pPr>
      <w:r w:rsidRPr="005E0E5D">
        <w:rPr>
          <w:b/>
          <w:bCs/>
        </w:rPr>
        <w:lastRenderedPageBreak/>
        <w:t>BILJEŠKA ZA NASTALE RAZLIKE ( preračun kuna u € u početnom stanju 2023. u odnosu na završno stanje 2022. u kunama)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3076"/>
        <w:gridCol w:w="1513"/>
        <w:gridCol w:w="1490"/>
        <w:gridCol w:w="1360"/>
        <w:gridCol w:w="848"/>
      </w:tblGrid>
      <w:tr w:rsidR="001A05D2" w14:paraId="5250AE46" w14:textId="77777777" w:rsidTr="008F232F">
        <w:tc>
          <w:tcPr>
            <w:tcW w:w="775" w:type="dxa"/>
          </w:tcPr>
          <w:p w14:paraId="136E8592" w14:textId="77777777" w:rsidR="001A05D2" w:rsidRDefault="001A05D2" w:rsidP="001E6A30">
            <w:r>
              <w:t>Rn</w:t>
            </w:r>
          </w:p>
        </w:tc>
        <w:tc>
          <w:tcPr>
            <w:tcW w:w="3076" w:type="dxa"/>
          </w:tcPr>
          <w:p w14:paraId="1206F314" w14:textId="77777777" w:rsidR="001A05D2" w:rsidRDefault="001A05D2" w:rsidP="001E6A30">
            <w:r>
              <w:t>Opis stavke</w:t>
            </w:r>
          </w:p>
        </w:tc>
        <w:tc>
          <w:tcPr>
            <w:tcW w:w="1513" w:type="dxa"/>
          </w:tcPr>
          <w:p w14:paraId="2FA81338" w14:textId="77777777" w:rsidR="001A05D2" w:rsidRDefault="001A05D2" w:rsidP="001E6A30">
            <w:r>
              <w:t>Stanje u kn 31.12.2022.</w:t>
            </w:r>
          </w:p>
        </w:tc>
        <w:tc>
          <w:tcPr>
            <w:tcW w:w="1490" w:type="dxa"/>
          </w:tcPr>
          <w:p w14:paraId="5DF613B9" w14:textId="77777777" w:rsidR="001A05D2" w:rsidRDefault="001A05D2" w:rsidP="001E6A30">
            <w:r>
              <w:t>Konverzija kuna u €</w:t>
            </w:r>
          </w:p>
        </w:tc>
        <w:tc>
          <w:tcPr>
            <w:tcW w:w="1360" w:type="dxa"/>
          </w:tcPr>
          <w:p w14:paraId="445F8BE1" w14:textId="77777777" w:rsidR="001A05D2" w:rsidRDefault="001A05D2" w:rsidP="001E6A30">
            <w:r>
              <w:t>Početno stanje 1.1.2023. u €</w:t>
            </w:r>
          </w:p>
        </w:tc>
        <w:tc>
          <w:tcPr>
            <w:tcW w:w="848" w:type="dxa"/>
          </w:tcPr>
          <w:p w14:paraId="20861141" w14:textId="77777777" w:rsidR="001A05D2" w:rsidRDefault="001A05D2" w:rsidP="001E6A30">
            <w:r>
              <w:t>Razlika</w:t>
            </w:r>
          </w:p>
        </w:tc>
      </w:tr>
      <w:tr w:rsidR="001A05D2" w14:paraId="14FD4D42" w14:textId="77777777" w:rsidTr="008F232F">
        <w:tc>
          <w:tcPr>
            <w:tcW w:w="775" w:type="dxa"/>
          </w:tcPr>
          <w:p w14:paraId="7C3A8E17" w14:textId="77777777" w:rsidR="001A05D2" w:rsidRDefault="001A05D2" w:rsidP="001E6A30">
            <w:r>
              <w:t>1</w:t>
            </w:r>
          </w:p>
        </w:tc>
        <w:tc>
          <w:tcPr>
            <w:tcW w:w="3076" w:type="dxa"/>
          </w:tcPr>
          <w:p w14:paraId="6D6A0050" w14:textId="77777777" w:rsidR="001A05D2" w:rsidRDefault="001A05D2" w:rsidP="001E6A30">
            <w:pPr>
              <w:jc w:val="center"/>
            </w:pPr>
            <w:r>
              <w:t>2</w:t>
            </w:r>
          </w:p>
        </w:tc>
        <w:tc>
          <w:tcPr>
            <w:tcW w:w="1513" w:type="dxa"/>
          </w:tcPr>
          <w:p w14:paraId="169AF5ED" w14:textId="77777777" w:rsidR="001A05D2" w:rsidRDefault="001A05D2" w:rsidP="001E6A30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51D93820" w14:textId="77777777" w:rsidR="001A05D2" w:rsidRDefault="001A05D2" w:rsidP="001E6A30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154AF1DA" w14:textId="77777777" w:rsidR="001A05D2" w:rsidRDefault="001A05D2" w:rsidP="001E6A30">
            <w:pPr>
              <w:jc w:val="center"/>
            </w:pPr>
            <w:r>
              <w:t>5</w:t>
            </w:r>
          </w:p>
        </w:tc>
        <w:tc>
          <w:tcPr>
            <w:tcW w:w="848" w:type="dxa"/>
          </w:tcPr>
          <w:p w14:paraId="772D03F2" w14:textId="77777777" w:rsidR="001A05D2" w:rsidRDefault="001A05D2" w:rsidP="001E6A30">
            <w:pPr>
              <w:jc w:val="center"/>
            </w:pPr>
            <w:r>
              <w:t>6</w:t>
            </w:r>
          </w:p>
        </w:tc>
      </w:tr>
      <w:tr w:rsidR="001A05D2" w14:paraId="56AC7267" w14:textId="77777777" w:rsidTr="008F232F">
        <w:tc>
          <w:tcPr>
            <w:tcW w:w="775" w:type="dxa"/>
          </w:tcPr>
          <w:p w14:paraId="548997A5" w14:textId="77777777" w:rsidR="001A05D2" w:rsidRDefault="001A05D2" w:rsidP="001E6A30"/>
        </w:tc>
        <w:tc>
          <w:tcPr>
            <w:tcW w:w="3076" w:type="dxa"/>
          </w:tcPr>
          <w:p w14:paraId="3D8B7766" w14:textId="77777777" w:rsidR="001A05D2" w:rsidRDefault="001A05D2" w:rsidP="001E6A30">
            <w:pPr>
              <w:jc w:val="center"/>
            </w:pPr>
            <w:r>
              <w:t>IMOVINA</w:t>
            </w:r>
          </w:p>
        </w:tc>
        <w:tc>
          <w:tcPr>
            <w:tcW w:w="1513" w:type="dxa"/>
          </w:tcPr>
          <w:p w14:paraId="2A705175" w14:textId="2A2DBBE3" w:rsidR="001A05D2" w:rsidRDefault="005C08D8" w:rsidP="001E6A30">
            <w:pPr>
              <w:jc w:val="right"/>
            </w:pPr>
            <w:r>
              <w:t>178,78</w:t>
            </w:r>
          </w:p>
        </w:tc>
        <w:tc>
          <w:tcPr>
            <w:tcW w:w="1490" w:type="dxa"/>
          </w:tcPr>
          <w:p w14:paraId="31F1C155" w14:textId="1AE1547E" w:rsidR="001A05D2" w:rsidRDefault="007B3EBB" w:rsidP="001E6A30">
            <w:pPr>
              <w:jc w:val="right"/>
            </w:pPr>
            <w:r>
              <w:t>23,73</w:t>
            </w:r>
          </w:p>
        </w:tc>
        <w:tc>
          <w:tcPr>
            <w:tcW w:w="1360" w:type="dxa"/>
          </w:tcPr>
          <w:p w14:paraId="2292ACD4" w14:textId="2373BCA5" w:rsidR="001A05D2" w:rsidRDefault="007B3EBB" w:rsidP="001E6A30">
            <w:pPr>
              <w:jc w:val="right"/>
            </w:pPr>
            <w:r>
              <w:t>23,73</w:t>
            </w:r>
          </w:p>
        </w:tc>
        <w:tc>
          <w:tcPr>
            <w:tcW w:w="848" w:type="dxa"/>
          </w:tcPr>
          <w:p w14:paraId="6FFCF769" w14:textId="29D6B21E" w:rsidR="001A05D2" w:rsidRDefault="001A05D2" w:rsidP="001E6A30">
            <w:pPr>
              <w:jc w:val="right"/>
            </w:pPr>
          </w:p>
        </w:tc>
      </w:tr>
      <w:tr w:rsidR="001A05D2" w14:paraId="3D7499F0" w14:textId="77777777" w:rsidTr="008F232F">
        <w:tc>
          <w:tcPr>
            <w:tcW w:w="775" w:type="dxa"/>
          </w:tcPr>
          <w:p w14:paraId="30ADAB9E" w14:textId="77777777" w:rsidR="001A05D2" w:rsidRDefault="001A05D2" w:rsidP="001E6A30">
            <w:r>
              <w:t>0</w:t>
            </w:r>
          </w:p>
        </w:tc>
        <w:tc>
          <w:tcPr>
            <w:tcW w:w="3076" w:type="dxa"/>
          </w:tcPr>
          <w:p w14:paraId="119D89D8" w14:textId="77777777" w:rsidR="001A05D2" w:rsidRDefault="001A05D2" w:rsidP="001E6A30">
            <w:r>
              <w:t>Nefinancijska imovina</w:t>
            </w:r>
          </w:p>
        </w:tc>
        <w:tc>
          <w:tcPr>
            <w:tcW w:w="1513" w:type="dxa"/>
          </w:tcPr>
          <w:p w14:paraId="63BDD4D8" w14:textId="75B3DB77" w:rsidR="001A05D2" w:rsidRDefault="001A05D2" w:rsidP="001E6A30">
            <w:pPr>
              <w:jc w:val="right"/>
            </w:pPr>
          </w:p>
        </w:tc>
        <w:tc>
          <w:tcPr>
            <w:tcW w:w="1490" w:type="dxa"/>
          </w:tcPr>
          <w:p w14:paraId="049B5736" w14:textId="347132BA" w:rsidR="001A05D2" w:rsidRDefault="001A05D2" w:rsidP="001E6A30">
            <w:pPr>
              <w:jc w:val="right"/>
            </w:pPr>
          </w:p>
        </w:tc>
        <w:tc>
          <w:tcPr>
            <w:tcW w:w="1360" w:type="dxa"/>
          </w:tcPr>
          <w:p w14:paraId="566D65F1" w14:textId="0FC5DB0D" w:rsidR="001A05D2" w:rsidRDefault="001A05D2" w:rsidP="001E6A30">
            <w:pPr>
              <w:jc w:val="right"/>
            </w:pPr>
          </w:p>
        </w:tc>
        <w:tc>
          <w:tcPr>
            <w:tcW w:w="848" w:type="dxa"/>
          </w:tcPr>
          <w:p w14:paraId="3DECB8A6" w14:textId="1A216FAC" w:rsidR="001A05D2" w:rsidRDefault="001A05D2" w:rsidP="001E6A30">
            <w:pPr>
              <w:jc w:val="right"/>
            </w:pPr>
          </w:p>
        </w:tc>
      </w:tr>
      <w:tr w:rsidR="001A05D2" w14:paraId="5B77D572" w14:textId="77777777" w:rsidTr="008F232F">
        <w:tc>
          <w:tcPr>
            <w:tcW w:w="775" w:type="dxa"/>
          </w:tcPr>
          <w:p w14:paraId="3D4259AA" w14:textId="77777777" w:rsidR="001A05D2" w:rsidRDefault="001A05D2" w:rsidP="001E6A30">
            <w:r>
              <w:t>111</w:t>
            </w:r>
          </w:p>
        </w:tc>
        <w:tc>
          <w:tcPr>
            <w:tcW w:w="3076" w:type="dxa"/>
          </w:tcPr>
          <w:p w14:paraId="3576A18E" w14:textId="77777777" w:rsidR="001A05D2" w:rsidRDefault="001A05D2" w:rsidP="001E6A30">
            <w:r>
              <w:t>Novci u banci</w:t>
            </w:r>
          </w:p>
        </w:tc>
        <w:tc>
          <w:tcPr>
            <w:tcW w:w="1513" w:type="dxa"/>
          </w:tcPr>
          <w:p w14:paraId="2320936A" w14:textId="2A4C7F29" w:rsidR="001A05D2" w:rsidRDefault="001A05D2" w:rsidP="001E6A30">
            <w:pPr>
              <w:jc w:val="right"/>
            </w:pPr>
          </w:p>
        </w:tc>
        <w:tc>
          <w:tcPr>
            <w:tcW w:w="1490" w:type="dxa"/>
          </w:tcPr>
          <w:p w14:paraId="33C40048" w14:textId="1E25C6E8" w:rsidR="001A05D2" w:rsidRDefault="001A05D2" w:rsidP="001E6A30">
            <w:pPr>
              <w:jc w:val="right"/>
            </w:pPr>
          </w:p>
        </w:tc>
        <w:tc>
          <w:tcPr>
            <w:tcW w:w="1360" w:type="dxa"/>
          </w:tcPr>
          <w:p w14:paraId="014B9B88" w14:textId="0FF75287" w:rsidR="001A05D2" w:rsidRDefault="001A05D2" w:rsidP="001E6A30">
            <w:pPr>
              <w:jc w:val="right"/>
            </w:pPr>
          </w:p>
        </w:tc>
        <w:tc>
          <w:tcPr>
            <w:tcW w:w="848" w:type="dxa"/>
          </w:tcPr>
          <w:p w14:paraId="4C9A6DEC" w14:textId="77777777" w:rsidR="001A05D2" w:rsidRDefault="001A05D2" w:rsidP="001E6A30">
            <w:pPr>
              <w:jc w:val="right"/>
            </w:pPr>
          </w:p>
        </w:tc>
      </w:tr>
      <w:tr w:rsidR="001A05D2" w14:paraId="4703662C" w14:textId="77777777" w:rsidTr="008F232F">
        <w:tc>
          <w:tcPr>
            <w:tcW w:w="775" w:type="dxa"/>
          </w:tcPr>
          <w:p w14:paraId="1F444C22" w14:textId="77777777" w:rsidR="001A05D2" w:rsidRDefault="001A05D2" w:rsidP="001E6A30">
            <w:r>
              <w:t>12</w:t>
            </w:r>
          </w:p>
        </w:tc>
        <w:tc>
          <w:tcPr>
            <w:tcW w:w="3076" w:type="dxa"/>
          </w:tcPr>
          <w:p w14:paraId="1A298667" w14:textId="77777777" w:rsidR="001A05D2" w:rsidRDefault="001A05D2" w:rsidP="001E6A30">
            <w:r>
              <w:t>Potraživanja</w:t>
            </w:r>
          </w:p>
        </w:tc>
        <w:tc>
          <w:tcPr>
            <w:tcW w:w="1513" w:type="dxa"/>
          </w:tcPr>
          <w:p w14:paraId="4615CCEC" w14:textId="2E1EFD21" w:rsidR="001A05D2" w:rsidRDefault="001A05D2" w:rsidP="001E6A30">
            <w:pPr>
              <w:jc w:val="right"/>
            </w:pPr>
          </w:p>
        </w:tc>
        <w:tc>
          <w:tcPr>
            <w:tcW w:w="1490" w:type="dxa"/>
          </w:tcPr>
          <w:p w14:paraId="4D6359B8" w14:textId="2FECE521" w:rsidR="001A05D2" w:rsidRDefault="001A05D2" w:rsidP="001E6A30">
            <w:pPr>
              <w:jc w:val="right"/>
            </w:pPr>
          </w:p>
        </w:tc>
        <w:tc>
          <w:tcPr>
            <w:tcW w:w="1360" w:type="dxa"/>
          </w:tcPr>
          <w:p w14:paraId="7775B577" w14:textId="53B7094E" w:rsidR="001A05D2" w:rsidRDefault="001A05D2" w:rsidP="001E6A30">
            <w:pPr>
              <w:jc w:val="right"/>
            </w:pPr>
          </w:p>
        </w:tc>
        <w:tc>
          <w:tcPr>
            <w:tcW w:w="848" w:type="dxa"/>
          </w:tcPr>
          <w:p w14:paraId="79BF9D53" w14:textId="77777777" w:rsidR="001A05D2" w:rsidRDefault="001A05D2" w:rsidP="001E6A30">
            <w:pPr>
              <w:jc w:val="right"/>
            </w:pPr>
          </w:p>
        </w:tc>
      </w:tr>
      <w:tr w:rsidR="001A05D2" w14:paraId="6B940AB5" w14:textId="77777777" w:rsidTr="008F232F">
        <w:tc>
          <w:tcPr>
            <w:tcW w:w="775" w:type="dxa"/>
          </w:tcPr>
          <w:p w14:paraId="68738AE9" w14:textId="77777777" w:rsidR="001A05D2" w:rsidRDefault="001A05D2" w:rsidP="001E6A30">
            <w:r>
              <w:t>16</w:t>
            </w:r>
          </w:p>
        </w:tc>
        <w:tc>
          <w:tcPr>
            <w:tcW w:w="3076" w:type="dxa"/>
          </w:tcPr>
          <w:p w14:paraId="33A5002F" w14:textId="77777777" w:rsidR="001A05D2" w:rsidRDefault="001A05D2" w:rsidP="001E6A30">
            <w:r>
              <w:t>Potraživanja za prihode poslovanja</w:t>
            </w:r>
          </w:p>
        </w:tc>
        <w:tc>
          <w:tcPr>
            <w:tcW w:w="1513" w:type="dxa"/>
          </w:tcPr>
          <w:p w14:paraId="5C04E85C" w14:textId="587E96C1" w:rsidR="001A05D2" w:rsidRDefault="005C08D8" w:rsidP="001E6A30">
            <w:pPr>
              <w:jc w:val="right"/>
            </w:pPr>
            <w:r>
              <w:t>178,78</w:t>
            </w:r>
          </w:p>
        </w:tc>
        <w:tc>
          <w:tcPr>
            <w:tcW w:w="1490" w:type="dxa"/>
          </w:tcPr>
          <w:p w14:paraId="4352F0BB" w14:textId="6414EAA5" w:rsidR="001A05D2" w:rsidRDefault="007B3EBB" w:rsidP="001E6A30">
            <w:pPr>
              <w:jc w:val="right"/>
            </w:pPr>
            <w:r>
              <w:t>23,73</w:t>
            </w:r>
          </w:p>
        </w:tc>
        <w:tc>
          <w:tcPr>
            <w:tcW w:w="1360" w:type="dxa"/>
          </w:tcPr>
          <w:p w14:paraId="5FEA1192" w14:textId="10AFFC06" w:rsidR="001A05D2" w:rsidRDefault="007B3EBB" w:rsidP="001E6A30">
            <w:pPr>
              <w:jc w:val="right"/>
            </w:pPr>
            <w:r>
              <w:t>23,73</w:t>
            </w:r>
          </w:p>
        </w:tc>
        <w:tc>
          <w:tcPr>
            <w:tcW w:w="848" w:type="dxa"/>
          </w:tcPr>
          <w:p w14:paraId="31B0ED80" w14:textId="77777777" w:rsidR="001A05D2" w:rsidRDefault="001A05D2" w:rsidP="001E6A30">
            <w:pPr>
              <w:jc w:val="right"/>
            </w:pPr>
          </w:p>
        </w:tc>
      </w:tr>
      <w:tr w:rsidR="001A05D2" w14:paraId="7162C3C3" w14:textId="77777777" w:rsidTr="008F232F">
        <w:tc>
          <w:tcPr>
            <w:tcW w:w="775" w:type="dxa"/>
          </w:tcPr>
          <w:p w14:paraId="296BBF56" w14:textId="77777777" w:rsidR="001A05D2" w:rsidRDefault="001A05D2" w:rsidP="001E6A30">
            <w:r>
              <w:t>17</w:t>
            </w:r>
          </w:p>
        </w:tc>
        <w:tc>
          <w:tcPr>
            <w:tcW w:w="3076" w:type="dxa"/>
          </w:tcPr>
          <w:p w14:paraId="25980A34" w14:textId="77777777" w:rsidR="001A05D2" w:rsidRDefault="001A05D2" w:rsidP="001E6A30">
            <w:r>
              <w:t xml:space="preserve">Potr .od prodaje </w:t>
            </w:r>
            <w:proofErr w:type="spellStart"/>
            <w:r>
              <w:t>nef</w:t>
            </w:r>
            <w:proofErr w:type="spellEnd"/>
            <w:r>
              <w:t>. imovine</w:t>
            </w:r>
          </w:p>
        </w:tc>
        <w:tc>
          <w:tcPr>
            <w:tcW w:w="1513" w:type="dxa"/>
          </w:tcPr>
          <w:p w14:paraId="54CC3D10" w14:textId="024FB3AA" w:rsidR="001A05D2" w:rsidRDefault="001A05D2" w:rsidP="001E6A30">
            <w:pPr>
              <w:jc w:val="right"/>
            </w:pPr>
          </w:p>
        </w:tc>
        <w:tc>
          <w:tcPr>
            <w:tcW w:w="1490" w:type="dxa"/>
          </w:tcPr>
          <w:p w14:paraId="3A4F764A" w14:textId="0DB20AA9" w:rsidR="001A05D2" w:rsidRDefault="001A05D2" w:rsidP="001E6A30">
            <w:pPr>
              <w:jc w:val="right"/>
            </w:pPr>
          </w:p>
        </w:tc>
        <w:tc>
          <w:tcPr>
            <w:tcW w:w="1360" w:type="dxa"/>
          </w:tcPr>
          <w:p w14:paraId="1579C8CE" w14:textId="3E604133" w:rsidR="001A05D2" w:rsidRDefault="001A05D2" w:rsidP="001E6A30">
            <w:pPr>
              <w:jc w:val="right"/>
            </w:pPr>
          </w:p>
        </w:tc>
        <w:tc>
          <w:tcPr>
            <w:tcW w:w="848" w:type="dxa"/>
          </w:tcPr>
          <w:p w14:paraId="7C194B18" w14:textId="77777777" w:rsidR="001A05D2" w:rsidRDefault="001A05D2" w:rsidP="001E6A30">
            <w:pPr>
              <w:jc w:val="right"/>
            </w:pPr>
          </w:p>
        </w:tc>
      </w:tr>
      <w:tr w:rsidR="001A05D2" w14:paraId="4F659E09" w14:textId="77777777" w:rsidTr="008F232F">
        <w:tc>
          <w:tcPr>
            <w:tcW w:w="775" w:type="dxa"/>
          </w:tcPr>
          <w:p w14:paraId="74FD0D58" w14:textId="77777777" w:rsidR="001A05D2" w:rsidRDefault="001A05D2" w:rsidP="001E6A30">
            <w:r>
              <w:t>193</w:t>
            </w:r>
          </w:p>
        </w:tc>
        <w:tc>
          <w:tcPr>
            <w:tcW w:w="3076" w:type="dxa"/>
          </w:tcPr>
          <w:p w14:paraId="2AF5CC66" w14:textId="77777777" w:rsidR="001A05D2" w:rsidRDefault="001A05D2" w:rsidP="001E6A30">
            <w:r>
              <w:t>Kontinuirani rashodi</w:t>
            </w:r>
          </w:p>
        </w:tc>
        <w:tc>
          <w:tcPr>
            <w:tcW w:w="1513" w:type="dxa"/>
          </w:tcPr>
          <w:p w14:paraId="32AF4065" w14:textId="1C63F429" w:rsidR="001A05D2" w:rsidRDefault="001A05D2" w:rsidP="001E6A30">
            <w:pPr>
              <w:jc w:val="right"/>
            </w:pPr>
          </w:p>
        </w:tc>
        <w:tc>
          <w:tcPr>
            <w:tcW w:w="1490" w:type="dxa"/>
          </w:tcPr>
          <w:p w14:paraId="08462648" w14:textId="57095738" w:rsidR="001A05D2" w:rsidRDefault="001A05D2" w:rsidP="001E6A30">
            <w:pPr>
              <w:jc w:val="right"/>
            </w:pPr>
          </w:p>
        </w:tc>
        <w:tc>
          <w:tcPr>
            <w:tcW w:w="1360" w:type="dxa"/>
          </w:tcPr>
          <w:p w14:paraId="0637457E" w14:textId="46AC3210" w:rsidR="001A05D2" w:rsidRDefault="001A05D2" w:rsidP="001E6A30">
            <w:pPr>
              <w:jc w:val="right"/>
            </w:pPr>
          </w:p>
        </w:tc>
        <w:tc>
          <w:tcPr>
            <w:tcW w:w="848" w:type="dxa"/>
          </w:tcPr>
          <w:p w14:paraId="1171A222" w14:textId="77777777" w:rsidR="001A05D2" w:rsidRDefault="001A05D2" w:rsidP="001E6A30">
            <w:pPr>
              <w:jc w:val="right"/>
            </w:pPr>
          </w:p>
        </w:tc>
      </w:tr>
      <w:tr w:rsidR="001A05D2" w14:paraId="1B14F3CC" w14:textId="77777777" w:rsidTr="008F232F">
        <w:tc>
          <w:tcPr>
            <w:tcW w:w="775" w:type="dxa"/>
          </w:tcPr>
          <w:p w14:paraId="086C9524" w14:textId="77777777" w:rsidR="001A05D2" w:rsidRDefault="001A05D2" w:rsidP="001E6A30"/>
        </w:tc>
        <w:tc>
          <w:tcPr>
            <w:tcW w:w="3076" w:type="dxa"/>
          </w:tcPr>
          <w:p w14:paraId="48A23FB3" w14:textId="77777777" w:rsidR="001A05D2" w:rsidRDefault="001A05D2" w:rsidP="001E6A30">
            <w:r>
              <w:t>OBVEZE I VLASTITI IZVORI</w:t>
            </w:r>
          </w:p>
        </w:tc>
        <w:tc>
          <w:tcPr>
            <w:tcW w:w="1513" w:type="dxa"/>
          </w:tcPr>
          <w:p w14:paraId="137283A8" w14:textId="17F4C648" w:rsidR="001A05D2" w:rsidRDefault="005C08D8" w:rsidP="001E6A30">
            <w:pPr>
              <w:jc w:val="right"/>
            </w:pPr>
            <w:r>
              <w:t>178,78</w:t>
            </w:r>
          </w:p>
        </w:tc>
        <w:tc>
          <w:tcPr>
            <w:tcW w:w="1490" w:type="dxa"/>
          </w:tcPr>
          <w:p w14:paraId="2B317E67" w14:textId="134F0B3E" w:rsidR="001A05D2" w:rsidRDefault="007B3EBB" w:rsidP="001E6A30">
            <w:pPr>
              <w:jc w:val="right"/>
            </w:pPr>
            <w:r>
              <w:t>23,73</w:t>
            </w:r>
          </w:p>
        </w:tc>
        <w:tc>
          <w:tcPr>
            <w:tcW w:w="1360" w:type="dxa"/>
          </w:tcPr>
          <w:p w14:paraId="24CAFC01" w14:textId="034E0222" w:rsidR="001A05D2" w:rsidRDefault="007B3EBB" w:rsidP="001E6A30">
            <w:pPr>
              <w:jc w:val="right"/>
            </w:pPr>
            <w:r>
              <w:t>23,73</w:t>
            </w:r>
          </w:p>
        </w:tc>
        <w:tc>
          <w:tcPr>
            <w:tcW w:w="848" w:type="dxa"/>
          </w:tcPr>
          <w:p w14:paraId="1A3269E3" w14:textId="419A8330" w:rsidR="001A05D2" w:rsidRDefault="001A05D2" w:rsidP="001E6A30">
            <w:pPr>
              <w:jc w:val="right"/>
            </w:pPr>
          </w:p>
        </w:tc>
      </w:tr>
      <w:tr w:rsidR="001A05D2" w14:paraId="73946BD0" w14:textId="77777777" w:rsidTr="008F232F">
        <w:tc>
          <w:tcPr>
            <w:tcW w:w="775" w:type="dxa"/>
          </w:tcPr>
          <w:p w14:paraId="0DD993C8" w14:textId="77777777" w:rsidR="001A05D2" w:rsidRDefault="001A05D2" w:rsidP="001E6A30">
            <w:r>
              <w:t>2</w:t>
            </w:r>
          </w:p>
        </w:tc>
        <w:tc>
          <w:tcPr>
            <w:tcW w:w="3076" w:type="dxa"/>
          </w:tcPr>
          <w:p w14:paraId="6F071BBF" w14:textId="77777777" w:rsidR="001A05D2" w:rsidRDefault="001A05D2" w:rsidP="001E6A30">
            <w:r>
              <w:t>Obveze</w:t>
            </w:r>
          </w:p>
        </w:tc>
        <w:tc>
          <w:tcPr>
            <w:tcW w:w="1513" w:type="dxa"/>
          </w:tcPr>
          <w:p w14:paraId="7EC06226" w14:textId="58165050" w:rsidR="001A05D2" w:rsidRDefault="005C08D8" w:rsidP="001E6A30">
            <w:pPr>
              <w:jc w:val="right"/>
            </w:pPr>
            <w:r>
              <w:t>1.146,00</w:t>
            </w:r>
          </w:p>
        </w:tc>
        <w:tc>
          <w:tcPr>
            <w:tcW w:w="1490" w:type="dxa"/>
          </w:tcPr>
          <w:p w14:paraId="35823E12" w14:textId="291CD079" w:rsidR="001A05D2" w:rsidRDefault="007B3EBB" w:rsidP="001E6A30">
            <w:pPr>
              <w:jc w:val="right"/>
            </w:pPr>
            <w:r>
              <w:t>152,11</w:t>
            </w:r>
          </w:p>
        </w:tc>
        <w:tc>
          <w:tcPr>
            <w:tcW w:w="1360" w:type="dxa"/>
          </w:tcPr>
          <w:p w14:paraId="60941287" w14:textId="51F6CEA1" w:rsidR="001A05D2" w:rsidRDefault="007B3EBB" w:rsidP="001E6A30">
            <w:pPr>
              <w:jc w:val="right"/>
            </w:pPr>
            <w:r>
              <w:t>152,11</w:t>
            </w:r>
          </w:p>
        </w:tc>
        <w:tc>
          <w:tcPr>
            <w:tcW w:w="848" w:type="dxa"/>
          </w:tcPr>
          <w:p w14:paraId="2B97A4A7" w14:textId="77777777" w:rsidR="001A05D2" w:rsidRDefault="001A05D2" w:rsidP="001E6A30">
            <w:pPr>
              <w:jc w:val="right"/>
            </w:pPr>
          </w:p>
        </w:tc>
      </w:tr>
      <w:tr w:rsidR="001A05D2" w14:paraId="45C404CE" w14:textId="77777777" w:rsidTr="008F232F">
        <w:tc>
          <w:tcPr>
            <w:tcW w:w="775" w:type="dxa"/>
          </w:tcPr>
          <w:p w14:paraId="1FF8FFE7" w14:textId="77777777" w:rsidR="001A05D2" w:rsidRDefault="001A05D2" w:rsidP="001E6A30">
            <w:r>
              <w:t>911</w:t>
            </w:r>
          </w:p>
        </w:tc>
        <w:tc>
          <w:tcPr>
            <w:tcW w:w="3076" w:type="dxa"/>
          </w:tcPr>
          <w:p w14:paraId="2E7E05C7" w14:textId="77777777" w:rsidR="001A05D2" w:rsidRDefault="001A05D2" w:rsidP="001E6A30">
            <w:r>
              <w:t>Vlastiti izvori</w:t>
            </w:r>
          </w:p>
        </w:tc>
        <w:tc>
          <w:tcPr>
            <w:tcW w:w="1513" w:type="dxa"/>
          </w:tcPr>
          <w:p w14:paraId="33B07A5C" w14:textId="311C44A8" w:rsidR="001A05D2" w:rsidRDefault="001A05D2" w:rsidP="001E6A30">
            <w:pPr>
              <w:jc w:val="right"/>
            </w:pPr>
          </w:p>
        </w:tc>
        <w:tc>
          <w:tcPr>
            <w:tcW w:w="1490" w:type="dxa"/>
          </w:tcPr>
          <w:p w14:paraId="1452F7D0" w14:textId="5FAAA8D8" w:rsidR="001A05D2" w:rsidRDefault="001A05D2" w:rsidP="001E6A30">
            <w:pPr>
              <w:jc w:val="right"/>
            </w:pPr>
          </w:p>
        </w:tc>
        <w:tc>
          <w:tcPr>
            <w:tcW w:w="1360" w:type="dxa"/>
          </w:tcPr>
          <w:p w14:paraId="4DF9989D" w14:textId="76CE33EB" w:rsidR="001A05D2" w:rsidRDefault="001A05D2" w:rsidP="001E6A30">
            <w:pPr>
              <w:jc w:val="right"/>
            </w:pPr>
          </w:p>
        </w:tc>
        <w:tc>
          <w:tcPr>
            <w:tcW w:w="848" w:type="dxa"/>
          </w:tcPr>
          <w:p w14:paraId="7B60A5C2" w14:textId="599CFE22" w:rsidR="001A05D2" w:rsidRDefault="001A05D2" w:rsidP="001E6A30">
            <w:pPr>
              <w:jc w:val="right"/>
            </w:pPr>
          </w:p>
        </w:tc>
      </w:tr>
      <w:tr w:rsidR="001A05D2" w14:paraId="24881F0A" w14:textId="77777777" w:rsidTr="008F232F">
        <w:tc>
          <w:tcPr>
            <w:tcW w:w="775" w:type="dxa"/>
          </w:tcPr>
          <w:p w14:paraId="0BF91A19" w14:textId="77777777" w:rsidR="001A05D2" w:rsidRDefault="001A05D2" w:rsidP="001E6A30">
            <w:r>
              <w:t>92211</w:t>
            </w:r>
          </w:p>
        </w:tc>
        <w:tc>
          <w:tcPr>
            <w:tcW w:w="3076" w:type="dxa"/>
          </w:tcPr>
          <w:p w14:paraId="6E6ADA97" w14:textId="77777777" w:rsidR="001A05D2" w:rsidRDefault="001A05D2" w:rsidP="001E6A30">
            <w:r>
              <w:t>Višak prihoda poslovanja</w:t>
            </w:r>
          </w:p>
        </w:tc>
        <w:tc>
          <w:tcPr>
            <w:tcW w:w="1513" w:type="dxa"/>
          </w:tcPr>
          <w:p w14:paraId="1450C4D3" w14:textId="38B4BFCD" w:rsidR="001A05D2" w:rsidRDefault="001A05D2" w:rsidP="001E6A30">
            <w:pPr>
              <w:jc w:val="right"/>
            </w:pPr>
          </w:p>
        </w:tc>
        <w:tc>
          <w:tcPr>
            <w:tcW w:w="1490" w:type="dxa"/>
          </w:tcPr>
          <w:p w14:paraId="799B90C4" w14:textId="42625B8F" w:rsidR="001A05D2" w:rsidRDefault="001A05D2" w:rsidP="001E6A30">
            <w:pPr>
              <w:jc w:val="right"/>
            </w:pPr>
          </w:p>
        </w:tc>
        <w:tc>
          <w:tcPr>
            <w:tcW w:w="1360" w:type="dxa"/>
          </w:tcPr>
          <w:p w14:paraId="600D9F4B" w14:textId="2482A0DF" w:rsidR="001A05D2" w:rsidRDefault="001A05D2" w:rsidP="001E6A30">
            <w:pPr>
              <w:jc w:val="right"/>
            </w:pPr>
          </w:p>
        </w:tc>
        <w:tc>
          <w:tcPr>
            <w:tcW w:w="848" w:type="dxa"/>
          </w:tcPr>
          <w:p w14:paraId="05A4F643" w14:textId="77777777" w:rsidR="001A05D2" w:rsidRDefault="001A05D2" w:rsidP="001E6A30">
            <w:pPr>
              <w:jc w:val="right"/>
            </w:pPr>
          </w:p>
        </w:tc>
      </w:tr>
      <w:tr w:rsidR="001A05D2" w14:paraId="56D2003E" w14:textId="77777777" w:rsidTr="008F232F">
        <w:tc>
          <w:tcPr>
            <w:tcW w:w="775" w:type="dxa"/>
          </w:tcPr>
          <w:p w14:paraId="151B8D0A" w14:textId="77777777" w:rsidR="001A05D2" w:rsidRDefault="001A05D2" w:rsidP="001E6A30">
            <w:r>
              <w:t>92222</w:t>
            </w:r>
          </w:p>
        </w:tc>
        <w:tc>
          <w:tcPr>
            <w:tcW w:w="3076" w:type="dxa"/>
          </w:tcPr>
          <w:p w14:paraId="5CFE7A45" w14:textId="77777777" w:rsidR="001A05D2" w:rsidRDefault="001A05D2" w:rsidP="001E6A30">
            <w:r>
              <w:t xml:space="preserve">Manjak prihoda od </w:t>
            </w:r>
            <w:proofErr w:type="spellStart"/>
            <w:r>
              <w:t>nef</w:t>
            </w:r>
            <w:proofErr w:type="spellEnd"/>
            <w:r>
              <w:t>. imovine</w:t>
            </w:r>
          </w:p>
        </w:tc>
        <w:tc>
          <w:tcPr>
            <w:tcW w:w="1513" w:type="dxa"/>
          </w:tcPr>
          <w:p w14:paraId="29A58767" w14:textId="04C694F7" w:rsidR="001A05D2" w:rsidRDefault="005C08D8" w:rsidP="001E6A30">
            <w:pPr>
              <w:jc w:val="right"/>
            </w:pPr>
            <w:r>
              <w:t>1.146,00</w:t>
            </w:r>
          </w:p>
        </w:tc>
        <w:tc>
          <w:tcPr>
            <w:tcW w:w="1490" w:type="dxa"/>
          </w:tcPr>
          <w:p w14:paraId="4E484831" w14:textId="01423D41" w:rsidR="001A05D2" w:rsidRDefault="007B3EBB" w:rsidP="001E6A30">
            <w:pPr>
              <w:jc w:val="right"/>
            </w:pPr>
            <w:r>
              <w:t>152,11</w:t>
            </w:r>
          </w:p>
        </w:tc>
        <w:tc>
          <w:tcPr>
            <w:tcW w:w="1360" w:type="dxa"/>
          </w:tcPr>
          <w:p w14:paraId="46066E78" w14:textId="712346FA" w:rsidR="001A05D2" w:rsidRDefault="007B3EBB" w:rsidP="001E6A30">
            <w:pPr>
              <w:jc w:val="right"/>
            </w:pPr>
            <w:r>
              <w:t>152,11</w:t>
            </w:r>
          </w:p>
        </w:tc>
        <w:tc>
          <w:tcPr>
            <w:tcW w:w="848" w:type="dxa"/>
          </w:tcPr>
          <w:p w14:paraId="7FC8D64B" w14:textId="77777777" w:rsidR="001A05D2" w:rsidRDefault="001A05D2" w:rsidP="001E6A30">
            <w:pPr>
              <w:jc w:val="right"/>
            </w:pPr>
          </w:p>
        </w:tc>
      </w:tr>
      <w:tr w:rsidR="001A05D2" w14:paraId="1AD5002B" w14:textId="77777777" w:rsidTr="008F232F">
        <w:tc>
          <w:tcPr>
            <w:tcW w:w="775" w:type="dxa"/>
          </w:tcPr>
          <w:p w14:paraId="5160343F" w14:textId="77777777" w:rsidR="001A05D2" w:rsidRDefault="001A05D2" w:rsidP="001E6A30">
            <w:r>
              <w:t>96</w:t>
            </w:r>
          </w:p>
        </w:tc>
        <w:tc>
          <w:tcPr>
            <w:tcW w:w="3076" w:type="dxa"/>
          </w:tcPr>
          <w:p w14:paraId="72C13A0A" w14:textId="77777777" w:rsidR="001A05D2" w:rsidRDefault="001A05D2" w:rsidP="001E6A30">
            <w:r>
              <w:t>Obračun prihoda poslovanja</w:t>
            </w:r>
          </w:p>
        </w:tc>
        <w:tc>
          <w:tcPr>
            <w:tcW w:w="1513" w:type="dxa"/>
          </w:tcPr>
          <w:p w14:paraId="79DC73B6" w14:textId="014730C7" w:rsidR="001A05D2" w:rsidRDefault="005C08D8" w:rsidP="001E6A30">
            <w:pPr>
              <w:jc w:val="right"/>
            </w:pPr>
            <w:r>
              <w:t>178,78</w:t>
            </w:r>
          </w:p>
        </w:tc>
        <w:tc>
          <w:tcPr>
            <w:tcW w:w="1490" w:type="dxa"/>
          </w:tcPr>
          <w:p w14:paraId="1950047B" w14:textId="5A8D908E" w:rsidR="001A05D2" w:rsidRDefault="007B3EBB" w:rsidP="001E6A30">
            <w:pPr>
              <w:jc w:val="right"/>
            </w:pPr>
            <w:r>
              <w:t>23,73</w:t>
            </w:r>
          </w:p>
        </w:tc>
        <w:tc>
          <w:tcPr>
            <w:tcW w:w="1360" w:type="dxa"/>
          </w:tcPr>
          <w:p w14:paraId="2DC8A3CC" w14:textId="3D56A0C6" w:rsidR="001A05D2" w:rsidRDefault="007B3EBB" w:rsidP="001E6A30">
            <w:pPr>
              <w:jc w:val="right"/>
            </w:pPr>
            <w:r>
              <w:t>23,73</w:t>
            </w:r>
          </w:p>
        </w:tc>
        <w:tc>
          <w:tcPr>
            <w:tcW w:w="848" w:type="dxa"/>
          </w:tcPr>
          <w:p w14:paraId="05409D08" w14:textId="77777777" w:rsidR="001A05D2" w:rsidRDefault="001A05D2" w:rsidP="001E6A30">
            <w:pPr>
              <w:jc w:val="right"/>
            </w:pPr>
          </w:p>
        </w:tc>
      </w:tr>
      <w:tr w:rsidR="001A05D2" w14:paraId="5A9F34BD" w14:textId="77777777" w:rsidTr="008F232F">
        <w:tc>
          <w:tcPr>
            <w:tcW w:w="775" w:type="dxa"/>
          </w:tcPr>
          <w:p w14:paraId="7874374D" w14:textId="77777777" w:rsidR="001A05D2" w:rsidRDefault="001A05D2" w:rsidP="001E6A30">
            <w:r>
              <w:t>97</w:t>
            </w:r>
          </w:p>
        </w:tc>
        <w:tc>
          <w:tcPr>
            <w:tcW w:w="3076" w:type="dxa"/>
          </w:tcPr>
          <w:p w14:paraId="1D7A8255" w14:textId="77777777" w:rsidR="001A05D2" w:rsidRDefault="001A05D2" w:rsidP="001E6A30">
            <w:proofErr w:type="spellStart"/>
            <w:r>
              <w:t>Obr</w:t>
            </w:r>
            <w:proofErr w:type="spellEnd"/>
            <w:r>
              <w:t xml:space="preserve">. </w:t>
            </w:r>
            <w:proofErr w:type="spellStart"/>
            <w:r>
              <w:t>prih.od</w:t>
            </w:r>
            <w:proofErr w:type="spellEnd"/>
            <w:r>
              <w:t xml:space="preserve"> prodaje </w:t>
            </w:r>
            <w:proofErr w:type="spellStart"/>
            <w:r>
              <w:t>nef</w:t>
            </w:r>
            <w:proofErr w:type="spellEnd"/>
            <w:r>
              <w:t>. imovine</w:t>
            </w:r>
          </w:p>
        </w:tc>
        <w:tc>
          <w:tcPr>
            <w:tcW w:w="1513" w:type="dxa"/>
          </w:tcPr>
          <w:p w14:paraId="7FE6A601" w14:textId="77777777" w:rsidR="001A05D2" w:rsidRDefault="001A05D2" w:rsidP="001E6A30">
            <w:pPr>
              <w:jc w:val="right"/>
            </w:pPr>
          </w:p>
        </w:tc>
        <w:tc>
          <w:tcPr>
            <w:tcW w:w="1490" w:type="dxa"/>
          </w:tcPr>
          <w:p w14:paraId="4E7B7E3B" w14:textId="77777777" w:rsidR="001A05D2" w:rsidRDefault="001A05D2" w:rsidP="001E6A30">
            <w:pPr>
              <w:jc w:val="right"/>
            </w:pPr>
          </w:p>
        </w:tc>
        <w:tc>
          <w:tcPr>
            <w:tcW w:w="1360" w:type="dxa"/>
          </w:tcPr>
          <w:p w14:paraId="72A67FA9" w14:textId="77777777" w:rsidR="001A05D2" w:rsidRDefault="001A05D2" w:rsidP="001E6A30">
            <w:pPr>
              <w:jc w:val="right"/>
            </w:pPr>
          </w:p>
        </w:tc>
        <w:tc>
          <w:tcPr>
            <w:tcW w:w="848" w:type="dxa"/>
          </w:tcPr>
          <w:p w14:paraId="787C7B9D" w14:textId="77777777" w:rsidR="001A05D2" w:rsidRDefault="001A05D2" w:rsidP="001E6A30">
            <w:pPr>
              <w:jc w:val="right"/>
            </w:pPr>
          </w:p>
        </w:tc>
      </w:tr>
    </w:tbl>
    <w:p w14:paraId="3EDEFAEA" w14:textId="5498C0A6" w:rsidR="007B3EBB" w:rsidRDefault="001A05D2" w:rsidP="007B3EBB">
      <w:pPr>
        <w:spacing w:after="0"/>
      </w:pPr>
      <w:r>
        <w:t xml:space="preserve">Aktiva i pasiva na dan 1.01.2023. godine </w:t>
      </w:r>
      <w:r w:rsidR="008F232F">
        <w:t>se nije mijenjala pošto nisu</w:t>
      </w:r>
      <w:r>
        <w:t xml:space="preserve"> nastale</w:t>
      </w:r>
      <w:r w:rsidR="008F232F">
        <w:t xml:space="preserve"> razlike</w:t>
      </w:r>
      <w:r>
        <w:t xml:space="preserve"> uslijed  preračunavanja i zaokruživanja kune u eure primjenom fiksnog tečaja konverzije</w:t>
      </w:r>
      <w:r w:rsidR="007B3EBB">
        <w:t xml:space="preserve"> kako je i prikazano u tablici.</w:t>
      </w:r>
    </w:p>
    <w:p w14:paraId="589FF4C0" w14:textId="03238636" w:rsidR="001A05D2" w:rsidRDefault="001A05D2" w:rsidP="001A05D2"/>
    <w:p w14:paraId="32C05D53" w14:textId="77777777" w:rsidR="007B3EBB" w:rsidRDefault="007B3EBB" w:rsidP="001A05D2"/>
    <w:p w14:paraId="2B009A71" w14:textId="77777777" w:rsidR="00D95F75" w:rsidRDefault="00D95F75" w:rsidP="001A05D2"/>
    <w:p w14:paraId="7144D6D9" w14:textId="77777777" w:rsidR="005C0ACC" w:rsidRDefault="005C0ACC">
      <w:pPr>
        <w:jc w:val="both"/>
        <w:rPr>
          <w:lang w:eastAsia="hr-HR"/>
        </w:rPr>
      </w:pPr>
    </w:p>
    <w:p w14:paraId="78F33445" w14:textId="77777777" w:rsidR="0053069F" w:rsidRDefault="008777F9" w:rsidP="007F6F2A">
      <w:pPr>
        <w:pStyle w:val="Heading2"/>
        <w:numPr>
          <w:ilvl w:val="0"/>
          <w:numId w:val="8"/>
        </w:numPr>
      </w:pPr>
      <w:bookmarkStart w:id="18" w:name="_Toc943802"/>
      <w:r>
        <w:lastRenderedPageBreak/>
        <w:t>Bilješke uz obrazac – OBVEZE</w:t>
      </w:r>
      <w:bookmarkEnd w:id="18"/>
    </w:p>
    <w:p w14:paraId="25293B92" w14:textId="77777777" w:rsidR="0053069F" w:rsidRDefault="0053069F">
      <w:pPr>
        <w:rPr>
          <w:lang w:eastAsia="hr-HR"/>
        </w:rPr>
      </w:pPr>
    </w:p>
    <w:p w14:paraId="0E05E03D" w14:textId="368F6E68" w:rsidR="00BF4BC6" w:rsidRDefault="003F6196">
      <w:pPr>
        <w:jc w:val="both"/>
        <w:rPr>
          <w:lang w:eastAsia="hr-HR"/>
        </w:rPr>
      </w:pPr>
      <w:r>
        <w:rPr>
          <w:lang w:eastAsia="hr-HR"/>
        </w:rPr>
        <w:t>U okviru šifre V006</w:t>
      </w:r>
      <w:r w:rsidR="008777F9">
        <w:rPr>
          <w:lang w:eastAsia="hr-HR"/>
        </w:rPr>
        <w:t xml:space="preserve"> iskazan je ukupan iznos obveza na kraju izvještajnog razdoblja u ukupnom iznosu od </w:t>
      </w:r>
      <w:r w:rsidR="00466C37">
        <w:rPr>
          <w:lang w:eastAsia="hr-HR"/>
        </w:rPr>
        <w:t>14.</w:t>
      </w:r>
      <w:r w:rsidR="0028339E">
        <w:rPr>
          <w:lang w:eastAsia="hr-HR"/>
        </w:rPr>
        <w:t>583</w:t>
      </w:r>
      <w:r w:rsidR="00466C37">
        <w:rPr>
          <w:lang w:eastAsia="hr-HR"/>
        </w:rPr>
        <w:t>,07</w:t>
      </w:r>
      <w:r w:rsidR="001553DC">
        <w:rPr>
          <w:lang w:eastAsia="hr-HR"/>
        </w:rPr>
        <w:t xml:space="preserve"> </w:t>
      </w:r>
      <w:r w:rsidR="00AF75EB">
        <w:rPr>
          <w:lang w:eastAsia="hr-HR"/>
        </w:rPr>
        <w:t>€</w:t>
      </w:r>
      <w:r w:rsidR="008777F9">
        <w:rPr>
          <w:lang w:val="en-US" w:eastAsia="hr-HR"/>
        </w:rPr>
        <w:t xml:space="preserve"> </w:t>
      </w:r>
      <w:proofErr w:type="spellStart"/>
      <w:r w:rsidR="008777F9">
        <w:rPr>
          <w:lang w:val="en-US" w:eastAsia="hr-HR"/>
        </w:rPr>
        <w:t>Sukladno</w:t>
      </w:r>
      <w:proofErr w:type="spellEnd"/>
      <w:r w:rsidR="008777F9">
        <w:rPr>
          <w:lang w:val="en-US" w:eastAsia="hr-HR"/>
        </w:rPr>
        <w:t xml:space="preserve"> </w:t>
      </w:r>
      <w:proofErr w:type="spellStart"/>
      <w:r w:rsidR="008777F9">
        <w:rPr>
          <w:lang w:val="en-US" w:eastAsia="hr-HR"/>
        </w:rPr>
        <w:t>zakonskim</w:t>
      </w:r>
      <w:proofErr w:type="spellEnd"/>
      <w:r w:rsidR="008777F9">
        <w:rPr>
          <w:lang w:val="en-US" w:eastAsia="hr-HR"/>
        </w:rPr>
        <w:t xml:space="preserve"> </w:t>
      </w:r>
      <w:proofErr w:type="spellStart"/>
      <w:r w:rsidR="008777F9">
        <w:rPr>
          <w:lang w:val="en-US" w:eastAsia="hr-HR"/>
        </w:rPr>
        <w:t>propisi</w:t>
      </w:r>
      <w:r w:rsidR="009E4F17">
        <w:rPr>
          <w:lang w:val="en-US" w:eastAsia="hr-HR"/>
        </w:rPr>
        <w:t>ma</w:t>
      </w:r>
      <w:proofErr w:type="spellEnd"/>
      <w:r w:rsidR="009E4F17">
        <w:rPr>
          <w:lang w:val="en-US" w:eastAsia="hr-HR"/>
        </w:rPr>
        <w:t xml:space="preserve"> </w:t>
      </w:r>
      <w:proofErr w:type="spellStart"/>
      <w:r w:rsidR="009E4F17">
        <w:rPr>
          <w:lang w:val="en-US" w:eastAsia="hr-HR"/>
        </w:rPr>
        <w:t>moraju</w:t>
      </w:r>
      <w:proofErr w:type="spellEnd"/>
      <w:r w:rsidR="009E4F17">
        <w:rPr>
          <w:lang w:val="en-US" w:eastAsia="hr-HR"/>
        </w:rPr>
        <w:t xml:space="preserve"> </w:t>
      </w:r>
      <w:proofErr w:type="spellStart"/>
      <w:r w:rsidR="009E4F17">
        <w:rPr>
          <w:lang w:val="en-US" w:eastAsia="hr-HR"/>
        </w:rPr>
        <w:t>biti</w:t>
      </w:r>
      <w:proofErr w:type="spellEnd"/>
      <w:r w:rsidR="009E4F17">
        <w:rPr>
          <w:lang w:val="en-US" w:eastAsia="hr-HR"/>
        </w:rPr>
        <w:t xml:space="preserve"> </w:t>
      </w:r>
      <w:proofErr w:type="spellStart"/>
      <w:r w:rsidR="009E4F17">
        <w:rPr>
          <w:lang w:val="en-US" w:eastAsia="hr-HR"/>
        </w:rPr>
        <w:t>proknjiženi</w:t>
      </w:r>
      <w:proofErr w:type="spellEnd"/>
      <w:r w:rsidR="009E4F17">
        <w:rPr>
          <w:lang w:val="en-US" w:eastAsia="hr-HR"/>
        </w:rPr>
        <w:t xml:space="preserve"> u 202</w:t>
      </w:r>
      <w:r w:rsidR="00AF75EB">
        <w:rPr>
          <w:lang w:val="en-US" w:eastAsia="hr-HR"/>
        </w:rPr>
        <w:t>3</w:t>
      </w:r>
      <w:r w:rsidR="008777F9">
        <w:rPr>
          <w:lang w:val="en-US" w:eastAsia="hr-HR"/>
        </w:rPr>
        <w:t xml:space="preserve">. </w:t>
      </w:r>
      <w:proofErr w:type="spellStart"/>
      <w:r w:rsidR="008777F9">
        <w:rPr>
          <w:lang w:val="en-US" w:eastAsia="hr-HR"/>
        </w:rPr>
        <w:t>godinu</w:t>
      </w:r>
      <w:proofErr w:type="spellEnd"/>
      <w:r w:rsidR="008777F9">
        <w:rPr>
          <w:lang w:val="en-US" w:eastAsia="hr-HR"/>
        </w:rPr>
        <w:t xml:space="preserve">. </w:t>
      </w:r>
      <w:r w:rsidR="008777F9">
        <w:rPr>
          <w:lang w:eastAsia="hr-HR"/>
        </w:rPr>
        <w:t>Do trenutka sastavljanja godišnjeg financijskog izvještaja uglavnom su sve obveze bile podmirene.</w:t>
      </w:r>
    </w:p>
    <w:p w14:paraId="05615FD3" w14:textId="77777777" w:rsidR="00034B46" w:rsidRDefault="00034B46">
      <w:pPr>
        <w:jc w:val="both"/>
        <w:rPr>
          <w:b/>
          <w:i/>
          <w:lang w:eastAsia="hr-HR"/>
        </w:rPr>
      </w:pPr>
    </w:p>
    <w:p w14:paraId="4A8D01BE" w14:textId="77777777" w:rsidR="003063B8" w:rsidRDefault="003063B8" w:rsidP="003063B8">
      <w:pPr>
        <w:rPr>
          <w:b/>
          <w:bCs/>
        </w:rPr>
      </w:pPr>
      <w:r w:rsidRPr="004A4834">
        <w:rPr>
          <w:b/>
          <w:bCs/>
        </w:rPr>
        <w:t>OBRAZLOŽENJE REZULTATA PREMA IZVORIMA FINANCIRANJA:</w:t>
      </w:r>
    </w:p>
    <w:tbl>
      <w:tblPr>
        <w:tblW w:w="15971" w:type="dxa"/>
        <w:tblLook w:val="04A0" w:firstRow="1" w:lastRow="0" w:firstColumn="1" w:lastColumn="0" w:noHBand="0" w:noVBand="1"/>
      </w:tblPr>
      <w:tblGrid>
        <w:gridCol w:w="10773"/>
        <w:gridCol w:w="310"/>
        <w:gridCol w:w="1964"/>
        <w:gridCol w:w="1964"/>
        <w:gridCol w:w="960"/>
      </w:tblGrid>
      <w:tr w:rsidR="00D95F75" w:rsidRPr="00137507" w14:paraId="68FB2A2B" w14:textId="77777777" w:rsidTr="00D95F75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73436" w14:textId="21CCE763" w:rsidR="00D95F75" w:rsidRDefault="00D95F75" w:rsidP="00D95F75">
            <w:pPr>
              <w:spacing w:after="0"/>
            </w:pPr>
            <w:r>
              <w:t>JAVNA USTANOVA ZAVODA ZA PROSTORNO UREĐENJE GRADA SPLITA nije imala financiranje</w:t>
            </w:r>
          </w:p>
          <w:p w14:paraId="704210E3" w14:textId="490D803B" w:rsidR="00D95F75" w:rsidRDefault="00D95F75" w:rsidP="00D95F75">
            <w:pPr>
              <w:spacing w:after="0"/>
            </w:pPr>
            <w:r>
              <w:t>Iz drugih izvora osim Gradskog proračuna Split</w:t>
            </w:r>
          </w:p>
          <w:p w14:paraId="27F5A5A8" w14:textId="77777777" w:rsidR="00D95F75" w:rsidRDefault="00D95F75" w:rsidP="00D95F75">
            <w:pPr>
              <w:spacing w:after="0"/>
            </w:pPr>
          </w:p>
          <w:p w14:paraId="07657E4E" w14:textId="5BAB1821" w:rsidR="00D95F75" w:rsidRPr="00137507" w:rsidRDefault="00D95F75" w:rsidP="00D95F75">
            <w:r w:rsidRPr="00137507">
              <w:t>Tabelarni prikaz ostvarenog viška</w:t>
            </w:r>
            <w:r>
              <w:t xml:space="preserve">/ manjka </w:t>
            </w:r>
            <w:r w:rsidRPr="00137507">
              <w:t xml:space="preserve"> prihoda prema izvorima financiranja:</w:t>
            </w:r>
          </w:p>
          <w:tbl>
            <w:tblPr>
              <w:tblW w:w="8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1210"/>
              <w:gridCol w:w="1512"/>
              <w:gridCol w:w="1333"/>
              <w:gridCol w:w="1131"/>
              <w:gridCol w:w="937"/>
              <w:gridCol w:w="1088"/>
              <w:gridCol w:w="50"/>
            </w:tblGrid>
            <w:tr w:rsidR="00D95F75" w:rsidRPr="00137507" w14:paraId="7D669E66" w14:textId="77777777" w:rsidTr="004D26FC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09510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Izvori financiranja</w:t>
                  </w:r>
                </w:p>
                <w:p w14:paraId="541345FA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2706662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D1479EC" w14:textId="22EBC2B8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2023.god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60EAF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OPĆI PRIHODI I PRIMICI</w:t>
                  </w:r>
                </w:p>
                <w:p w14:paraId="68BDFFAD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 xml:space="preserve">-GRADSKI PRORAČUN-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68136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TEKUĆAPOMOĆ</w:t>
                  </w:r>
                </w:p>
                <w:p w14:paraId="0097EE01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PRORAČ.KORIS.</w:t>
                  </w:r>
                </w:p>
                <w:p w14:paraId="5F9259BA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 xml:space="preserve">IZ PRORAČUNA </w:t>
                  </w:r>
                </w:p>
                <w:p w14:paraId="0C892BB6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 xml:space="preserve">KOJI IM NIJE </w:t>
                  </w:r>
                </w:p>
                <w:p w14:paraId="055E9CB8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NADLEŽAN</w:t>
                  </w:r>
                </w:p>
                <w:p w14:paraId="19AEE9C8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MINSTAR.KULT.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B5434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PRIHOD OD ULAZN.,PRIH.</w:t>
                  </w:r>
                </w:p>
                <w:p w14:paraId="72EA31B8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OD FIN.IMOVINE,</w:t>
                  </w:r>
                </w:p>
                <w:p w14:paraId="1D825017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OSTALI PRIHODI ZA POSEBNE NAMJENE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739BB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VLAS.</w:t>
                  </w:r>
                </w:p>
                <w:p w14:paraId="667E7753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 xml:space="preserve">PRIHODI </w:t>
                  </w:r>
                </w:p>
                <w:p w14:paraId="1CB4946E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/prihodi od najma dvorane/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EFB4E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PRIHODI OD EU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B3C9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A5CCE55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5646213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71372E2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02B04DF" w14:textId="4A96932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UKUPNO 2023.</w:t>
                  </w:r>
                </w:p>
              </w:tc>
            </w:tr>
            <w:tr w:rsidR="00D95F75" w:rsidRPr="00137507" w14:paraId="0462D70D" w14:textId="77777777" w:rsidTr="004D26FC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7A284" w14:textId="77777777" w:rsidR="00D95F75" w:rsidRPr="00D95F75" w:rsidRDefault="00D95F75" w:rsidP="00D95F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Oznake računskog plana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29EB6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F7028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E5F50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B3D0F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21661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16E56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95F75" w:rsidRPr="00137507" w14:paraId="44637FE2" w14:textId="77777777" w:rsidTr="004D26FC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0C04C" w14:textId="77777777" w:rsidR="00D95F75" w:rsidRPr="00D95F75" w:rsidRDefault="00D95F75" w:rsidP="00D95F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E14C0" w14:textId="6228B063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131.797,98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EEE3B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6173D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655C7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58C3C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1A493" w14:textId="01EC2B81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131.797,98</w:t>
                  </w:r>
                </w:p>
              </w:tc>
            </w:tr>
            <w:tr w:rsidR="00D95F75" w:rsidRPr="00137507" w14:paraId="4A60CF75" w14:textId="77777777" w:rsidTr="00D95F75">
              <w:trPr>
                <w:trHeight w:val="494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DCAD5" w14:textId="77777777" w:rsidR="00D95F75" w:rsidRPr="00D95F75" w:rsidRDefault="00D95F75" w:rsidP="00D95F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4FCB1D07" w14:textId="77777777" w:rsidR="00D95F75" w:rsidRPr="00D95F75" w:rsidRDefault="00D95F75" w:rsidP="00D95F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 xml:space="preserve">          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5729B" w14:textId="211645A6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108.804,22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6EB6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6241E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713C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D892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947B6" w14:textId="50C87C73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108.804,22</w:t>
                  </w:r>
                </w:p>
              </w:tc>
            </w:tr>
            <w:tr w:rsidR="00D95F75" w:rsidRPr="00137507" w14:paraId="4FCA6FCE" w14:textId="77777777" w:rsidTr="00034B46">
              <w:trPr>
                <w:trHeight w:val="567"/>
              </w:trPr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B1CAA" w14:textId="22AACB70" w:rsidR="00D95F75" w:rsidRPr="00D95F75" w:rsidRDefault="00D95F75" w:rsidP="00D95F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 xml:space="preserve">           4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79732" w14:textId="57281A6A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37.146,32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059AB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CBC60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3A51D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21549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783DC" w14:textId="0ED5FFDD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sz w:val="20"/>
                      <w:szCs w:val="20"/>
                    </w:rPr>
                    <w:t>37.146,32</w:t>
                  </w:r>
                </w:p>
              </w:tc>
            </w:tr>
            <w:tr w:rsidR="00D95F75" w:rsidRPr="00137507" w14:paraId="038A92E1" w14:textId="77777777" w:rsidTr="004D26FC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39A23" w14:textId="77777777" w:rsidR="00D95F75" w:rsidRPr="00D95F75" w:rsidRDefault="00D95F75" w:rsidP="00D95F7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b/>
                      <w:sz w:val="20"/>
                      <w:szCs w:val="20"/>
                    </w:rPr>
                    <w:t xml:space="preserve">Višak/manjak </w:t>
                  </w:r>
                </w:p>
                <w:p w14:paraId="483D1A5D" w14:textId="77777777" w:rsidR="00D95F75" w:rsidRPr="00D95F75" w:rsidRDefault="00D95F75" w:rsidP="00D95F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b/>
                      <w:sz w:val="20"/>
                      <w:szCs w:val="20"/>
                    </w:rPr>
                    <w:t>od redovnog poslovanja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9401E" w14:textId="09396709" w:rsidR="00D95F75" w:rsidRPr="00D95F75" w:rsidRDefault="00D95F75" w:rsidP="00D95F75">
                  <w:pPr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color w:val="000000"/>
                      <w:sz w:val="20"/>
                      <w:szCs w:val="20"/>
                    </w:rPr>
                    <w:t>-14.152,56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DB30A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A4F16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8F1A3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AAA3E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1F6EB" w14:textId="2D301787" w:rsidR="00D95F75" w:rsidRPr="00D95F75" w:rsidRDefault="00D95F75" w:rsidP="00D95F75">
                  <w:pPr>
                    <w:jc w:val="right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bCs/>
                      <w:sz w:val="20"/>
                      <w:szCs w:val="20"/>
                    </w:rPr>
                    <w:t>-14.152,56</w:t>
                  </w:r>
                </w:p>
              </w:tc>
            </w:tr>
            <w:tr w:rsidR="00D95F75" w:rsidRPr="00137507" w14:paraId="04659213" w14:textId="77777777" w:rsidTr="004D26FC">
              <w:trPr>
                <w:gridAfter w:val="1"/>
                <w:wAfter w:w="71" w:type="dxa"/>
              </w:trPr>
              <w:tc>
                <w:tcPr>
                  <w:tcW w:w="75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B5DA0" w14:textId="5FAA293E" w:rsidR="00D95F75" w:rsidRPr="00D95F75" w:rsidRDefault="00D95F75" w:rsidP="00D95F75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b/>
                      <w:sz w:val="20"/>
                      <w:szCs w:val="20"/>
                    </w:rPr>
                    <w:t>VIŠAK  PRIHODA PRENESEN IZ 2022.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3B863" w14:textId="38256C39" w:rsidR="00D95F75" w:rsidRPr="00D95F75" w:rsidRDefault="00D95F75" w:rsidP="00D95F75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b/>
                      <w:sz w:val="20"/>
                      <w:szCs w:val="20"/>
                    </w:rPr>
                    <w:t>-152,11</w:t>
                  </w:r>
                </w:p>
              </w:tc>
            </w:tr>
            <w:tr w:rsidR="00D95F75" w:rsidRPr="00137507" w14:paraId="18E2BE68" w14:textId="77777777" w:rsidTr="004D26FC">
              <w:trPr>
                <w:gridAfter w:val="1"/>
                <w:wAfter w:w="71" w:type="dxa"/>
              </w:trPr>
              <w:tc>
                <w:tcPr>
                  <w:tcW w:w="75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189CA" w14:textId="77777777" w:rsidR="00D95F75" w:rsidRPr="00D95F75" w:rsidRDefault="00D95F75" w:rsidP="00D95F75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b/>
                      <w:sz w:val="20"/>
                      <w:szCs w:val="20"/>
                    </w:rPr>
                    <w:t>MANJAK PRIHODA  U SLJEDEĆEM RAZDOBLJU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FEEA4" w14:textId="464053D0" w:rsidR="00D95F75" w:rsidRPr="00D95F75" w:rsidRDefault="00D95F75" w:rsidP="00D95F75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95F75">
                    <w:rPr>
                      <w:rFonts w:cstheme="minorHAnsi"/>
                      <w:b/>
                      <w:sz w:val="20"/>
                      <w:szCs w:val="20"/>
                    </w:rPr>
                    <w:t>-14.304,67</w:t>
                  </w:r>
                </w:p>
              </w:tc>
            </w:tr>
          </w:tbl>
          <w:p w14:paraId="59D3C4E6" w14:textId="77777777" w:rsidR="00D95F75" w:rsidRPr="00137507" w:rsidRDefault="00D95F75" w:rsidP="00D95F75"/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06DC6" w14:textId="77777777" w:rsidR="00D95F75" w:rsidRPr="00137507" w:rsidRDefault="00D95F75" w:rsidP="00D95F7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C554A" w14:textId="77777777" w:rsidR="00D95F75" w:rsidRPr="00137507" w:rsidRDefault="00D95F75" w:rsidP="00D95F75">
            <w:pPr>
              <w:rPr>
                <w:rFonts w:ascii="Calibri" w:hAnsi="Calibri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F749" w14:textId="23AEF792" w:rsidR="00D95F75" w:rsidRPr="00137507" w:rsidRDefault="00D95F75" w:rsidP="00D95F75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6164" w14:textId="77777777" w:rsidR="00D95F75" w:rsidRPr="00137507" w:rsidRDefault="00D95F75" w:rsidP="00D95F75">
            <w:pPr>
              <w:rPr>
                <w:rFonts w:ascii="Calibri" w:hAnsi="Calibri"/>
              </w:rPr>
            </w:pPr>
          </w:p>
        </w:tc>
      </w:tr>
    </w:tbl>
    <w:p w14:paraId="3E8D8E7C" w14:textId="77777777" w:rsidR="007F6F2A" w:rsidRDefault="007F6F2A">
      <w:pPr>
        <w:rPr>
          <w:lang w:eastAsia="hr-HR"/>
        </w:rPr>
      </w:pPr>
    </w:p>
    <w:sectPr w:rsidR="007F6F2A" w:rsidSect="00BD5AFF"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AB71" w14:textId="77777777" w:rsidR="00BD5AFF" w:rsidRDefault="00BD5AFF">
      <w:pPr>
        <w:spacing w:after="0" w:line="240" w:lineRule="auto"/>
      </w:pPr>
      <w:r>
        <w:separator/>
      </w:r>
    </w:p>
  </w:endnote>
  <w:endnote w:type="continuationSeparator" w:id="0">
    <w:p w14:paraId="41ADA406" w14:textId="77777777" w:rsidR="00BD5AFF" w:rsidRDefault="00BD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25233"/>
    </w:sdtPr>
    <w:sdtContent>
      <w:p w14:paraId="1BD49A87" w14:textId="77777777" w:rsidR="003B6C1E" w:rsidRDefault="003B6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7A9">
          <w:rPr>
            <w:noProof/>
          </w:rPr>
          <w:t>12</w:t>
        </w:r>
        <w:r>
          <w:fldChar w:fldCharType="end"/>
        </w:r>
      </w:p>
    </w:sdtContent>
  </w:sdt>
  <w:p w14:paraId="4638EEFB" w14:textId="77777777" w:rsidR="003B6C1E" w:rsidRDefault="003B6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B33" w14:textId="77777777" w:rsidR="003B6C1E" w:rsidRDefault="003B6C1E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673" w14:textId="77777777" w:rsidR="00BD5AFF" w:rsidRDefault="00BD5AFF">
      <w:pPr>
        <w:spacing w:after="0" w:line="240" w:lineRule="auto"/>
      </w:pPr>
      <w:r>
        <w:separator/>
      </w:r>
    </w:p>
  </w:footnote>
  <w:footnote w:type="continuationSeparator" w:id="0">
    <w:p w14:paraId="71A5AA93" w14:textId="77777777" w:rsidR="00BD5AFF" w:rsidRDefault="00BD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57C"/>
    <w:multiLevelType w:val="multilevel"/>
    <w:tmpl w:val="BB0C6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B52066E"/>
    <w:multiLevelType w:val="multilevel"/>
    <w:tmpl w:val="C9E4EB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11B62797"/>
    <w:multiLevelType w:val="hybridMultilevel"/>
    <w:tmpl w:val="3BC4210C"/>
    <w:lvl w:ilvl="0" w:tplc="EE6437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14C"/>
    <w:multiLevelType w:val="multilevel"/>
    <w:tmpl w:val="19F3314C"/>
    <w:lvl w:ilvl="0">
      <w:start w:val="1"/>
      <w:numFmt w:val="decimal"/>
      <w:pStyle w:val="Heading2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8" w:hanging="720"/>
      </w:pPr>
      <w:rPr>
        <w:rFonts w:hint="default"/>
      </w:rPr>
    </w:lvl>
    <w:lvl w:ilvl="2">
      <w:start w:val="1"/>
      <w:numFmt w:val="decimal"/>
      <w:pStyle w:val="Heading5"/>
      <w:isLgl/>
      <w:lvlText w:val="%1.%2.%3."/>
      <w:lvlJc w:val="left"/>
      <w:pPr>
        <w:ind w:left="4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27" w:hanging="1800"/>
      </w:pPr>
      <w:rPr>
        <w:rFonts w:hint="default"/>
      </w:rPr>
    </w:lvl>
  </w:abstractNum>
  <w:abstractNum w:abstractNumId="4" w15:restartNumberingAfterBreak="0">
    <w:nsid w:val="1FBB70F0"/>
    <w:multiLevelType w:val="multilevel"/>
    <w:tmpl w:val="1FBB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1845" w:hanging="720"/>
      </w:pPr>
      <w:rPr>
        <w:rFonts w:ascii="Times New Roman" w:hAnsi="Times New Roman" w:hint="default"/>
        <w:i w:val="0"/>
        <w:color w:val="008080"/>
        <w:sz w:val="32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ascii="Times New Roman" w:hAnsi="Times New Roman" w:hint="default"/>
        <w:i w:val="0"/>
        <w:color w:val="008080"/>
        <w:sz w:val="32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ascii="Times New Roman" w:hAnsi="Times New Roman" w:hint="default"/>
        <w:i w:val="0"/>
        <w:color w:val="008080"/>
        <w:sz w:val="32"/>
      </w:rPr>
    </w:lvl>
    <w:lvl w:ilvl="4">
      <w:start w:val="1"/>
      <w:numFmt w:val="decimal"/>
      <w:isLgl/>
      <w:lvlText w:val="%1.%2.%3.%4.%5."/>
      <w:lvlJc w:val="left"/>
      <w:pPr>
        <w:ind w:left="4860" w:hanging="1440"/>
      </w:pPr>
      <w:rPr>
        <w:rFonts w:ascii="Times New Roman" w:hAnsi="Times New Roman" w:hint="default"/>
        <w:i w:val="0"/>
        <w:color w:val="008080"/>
        <w:sz w:val="32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ascii="Times New Roman" w:hAnsi="Times New Roman" w:hint="default"/>
        <w:i w:val="0"/>
        <w:color w:val="008080"/>
        <w:sz w:val="32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ascii="Times New Roman" w:hAnsi="Times New Roman" w:hint="default"/>
        <w:i w:val="0"/>
        <w:color w:val="00808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7875" w:hanging="2160"/>
      </w:pPr>
      <w:rPr>
        <w:rFonts w:ascii="Times New Roman" w:hAnsi="Times New Roman" w:hint="default"/>
        <w:i w:val="0"/>
        <w:color w:val="00808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ascii="Times New Roman" w:hAnsi="Times New Roman" w:hint="default"/>
        <w:i w:val="0"/>
        <w:color w:val="008080"/>
        <w:sz w:val="32"/>
      </w:rPr>
    </w:lvl>
  </w:abstractNum>
  <w:abstractNum w:abstractNumId="5" w15:restartNumberingAfterBreak="0">
    <w:nsid w:val="22C35CDF"/>
    <w:multiLevelType w:val="hybridMultilevel"/>
    <w:tmpl w:val="4D0C1E82"/>
    <w:lvl w:ilvl="0" w:tplc="0409000F">
      <w:start w:val="1"/>
      <w:numFmt w:val="decimal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2D86F17"/>
    <w:multiLevelType w:val="multilevel"/>
    <w:tmpl w:val="22D86F17"/>
    <w:lvl w:ilvl="0">
      <w:start w:val="1"/>
      <w:numFmt w:val="upperRoman"/>
      <w:pStyle w:val="Heading1"/>
      <w:lvlText w:val="%1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 w15:restartNumberingAfterBreak="0">
    <w:nsid w:val="24102293"/>
    <w:multiLevelType w:val="multilevel"/>
    <w:tmpl w:val="241022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1799"/>
    <w:multiLevelType w:val="multilevel"/>
    <w:tmpl w:val="289C1799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7AC5"/>
    <w:multiLevelType w:val="hybridMultilevel"/>
    <w:tmpl w:val="64A6AC1E"/>
    <w:lvl w:ilvl="0" w:tplc="2F52D7C6">
      <w:start w:val="1"/>
      <w:numFmt w:val="decimal"/>
      <w:lvlText w:val="2.3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D1141"/>
    <w:multiLevelType w:val="multilevel"/>
    <w:tmpl w:val="611014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 w16cid:durableId="857934439">
    <w:abstractNumId w:val="6"/>
  </w:num>
  <w:num w:numId="2" w16cid:durableId="2022780637">
    <w:abstractNumId w:val="3"/>
  </w:num>
  <w:num w:numId="3" w16cid:durableId="256982497">
    <w:abstractNumId w:val="4"/>
  </w:num>
  <w:num w:numId="4" w16cid:durableId="1723364582">
    <w:abstractNumId w:val="7"/>
  </w:num>
  <w:num w:numId="5" w16cid:durableId="392120039">
    <w:abstractNumId w:val="8"/>
  </w:num>
  <w:num w:numId="6" w16cid:durableId="1220749252">
    <w:abstractNumId w:val="9"/>
  </w:num>
  <w:num w:numId="7" w16cid:durableId="1703751310">
    <w:abstractNumId w:val="5"/>
  </w:num>
  <w:num w:numId="8" w16cid:durableId="1076050375">
    <w:abstractNumId w:val="10"/>
  </w:num>
  <w:num w:numId="9" w16cid:durableId="483618508">
    <w:abstractNumId w:val="3"/>
  </w:num>
  <w:num w:numId="10" w16cid:durableId="948589341">
    <w:abstractNumId w:val="3"/>
  </w:num>
  <w:num w:numId="11" w16cid:durableId="57438387">
    <w:abstractNumId w:val="3"/>
  </w:num>
  <w:num w:numId="12" w16cid:durableId="281422389">
    <w:abstractNumId w:val="3"/>
  </w:num>
  <w:num w:numId="13" w16cid:durableId="1475486651">
    <w:abstractNumId w:val="3"/>
  </w:num>
  <w:num w:numId="14" w16cid:durableId="1134983160">
    <w:abstractNumId w:val="3"/>
  </w:num>
  <w:num w:numId="15" w16cid:durableId="1858737493">
    <w:abstractNumId w:val="3"/>
  </w:num>
  <w:num w:numId="16" w16cid:durableId="1882090145">
    <w:abstractNumId w:val="1"/>
  </w:num>
  <w:num w:numId="17" w16cid:durableId="782462229">
    <w:abstractNumId w:val="0"/>
  </w:num>
  <w:num w:numId="18" w16cid:durableId="48897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28"/>
    <w:rsid w:val="000047AA"/>
    <w:rsid w:val="00005932"/>
    <w:rsid w:val="0000676B"/>
    <w:rsid w:val="000077AD"/>
    <w:rsid w:val="00015118"/>
    <w:rsid w:val="0001548F"/>
    <w:rsid w:val="00022A76"/>
    <w:rsid w:val="00022FA4"/>
    <w:rsid w:val="00023EA1"/>
    <w:rsid w:val="000242E3"/>
    <w:rsid w:val="00024F87"/>
    <w:rsid w:val="00031077"/>
    <w:rsid w:val="00034B46"/>
    <w:rsid w:val="0004137C"/>
    <w:rsid w:val="000418A7"/>
    <w:rsid w:val="000439F0"/>
    <w:rsid w:val="00044712"/>
    <w:rsid w:val="00046B05"/>
    <w:rsid w:val="00047B00"/>
    <w:rsid w:val="00047DC0"/>
    <w:rsid w:val="0005126D"/>
    <w:rsid w:val="000568EF"/>
    <w:rsid w:val="0006094C"/>
    <w:rsid w:val="00064DC6"/>
    <w:rsid w:val="0006618C"/>
    <w:rsid w:val="00067CB4"/>
    <w:rsid w:val="00072593"/>
    <w:rsid w:val="00073E4B"/>
    <w:rsid w:val="00082351"/>
    <w:rsid w:val="00083859"/>
    <w:rsid w:val="000869FC"/>
    <w:rsid w:val="00087BE4"/>
    <w:rsid w:val="000900D4"/>
    <w:rsid w:val="00090FD2"/>
    <w:rsid w:val="000A3C2F"/>
    <w:rsid w:val="000A3F64"/>
    <w:rsid w:val="000A401C"/>
    <w:rsid w:val="000C1CB7"/>
    <w:rsid w:val="000C63E6"/>
    <w:rsid w:val="000C663D"/>
    <w:rsid w:val="000C67D0"/>
    <w:rsid w:val="000C7A37"/>
    <w:rsid w:val="000D3E33"/>
    <w:rsid w:val="000D7FF9"/>
    <w:rsid w:val="000E08AC"/>
    <w:rsid w:val="000E138A"/>
    <w:rsid w:val="000E1E54"/>
    <w:rsid w:val="000E59A4"/>
    <w:rsid w:val="000F7175"/>
    <w:rsid w:val="000F7F12"/>
    <w:rsid w:val="001001EB"/>
    <w:rsid w:val="00100E92"/>
    <w:rsid w:val="001050A0"/>
    <w:rsid w:val="00107055"/>
    <w:rsid w:val="0011006D"/>
    <w:rsid w:val="00112C8E"/>
    <w:rsid w:val="0012081B"/>
    <w:rsid w:val="00122D69"/>
    <w:rsid w:val="00123C07"/>
    <w:rsid w:val="001256B4"/>
    <w:rsid w:val="00132E41"/>
    <w:rsid w:val="0013682A"/>
    <w:rsid w:val="00136E99"/>
    <w:rsid w:val="001377B4"/>
    <w:rsid w:val="00142987"/>
    <w:rsid w:val="00146DA5"/>
    <w:rsid w:val="00152868"/>
    <w:rsid w:val="00153FA3"/>
    <w:rsid w:val="001553DC"/>
    <w:rsid w:val="00155582"/>
    <w:rsid w:val="00161516"/>
    <w:rsid w:val="0016299E"/>
    <w:rsid w:val="0016352F"/>
    <w:rsid w:val="001635D6"/>
    <w:rsid w:val="00165F5C"/>
    <w:rsid w:val="00167486"/>
    <w:rsid w:val="00181892"/>
    <w:rsid w:val="00186E6D"/>
    <w:rsid w:val="001950C9"/>
    <w:rsid w:val="00195822"/>
    <w:rsid w:val="001A0484"/>
    <w:rsid w:val="001A05D2"/>
    <w:rsid w:val="001A5515"/>
    <w:rsid w:val="001A6F7B"/>
    <w:rsid w:val="001B47BE"/>
    <w:rsid w:val="001B5767"/>
    <w:rsid w:val="001B59FC"/>
    <w:rsid w:val="001B6341"/>
    <w:rsid w:val="001C11F7"/>
    <w:rsid w:val="001C3525"/>
    <w:rsid w:val="001C4F3E"/>
    <w:rsid w:val="001C59B0"/>
    <w:rsid w:val="001C5CAE"/>
    <w:rsid w:val="001C75E6"/>
    <w:rsid w:val="001D5592"/>
    <w:rsid w:val="001E32D6"/>
    <w:rsid w:val="001E48E4"/>
    <w:rsid w:val="001E5870"/>
    <w:rsid w:val="001E6328"/>
    <w:rsid w:val="001F1063"/>
    <w:rsid w:val="001F26F5"/>
    <w:rsid w:val="001F645A"/>
    <w:rsid w:val="002011D1"/>
    <w:rsid w:val="0020597D"/>
    <w:rsid w:val="00212D48"/>
    <w:rsid w:val="00215FF2"/>
    <w:rsid w:val="002175C4"/>
    <w:rsid w:val="0022129D"/>
    <w:rsid w:val="00221409"/>
    <w:rsid w:val="002308BF"/>
    <w:rsid w:val="00233142"/>
    <w:rsid w:val="00234964"/>
    <w:rsid w:val="00235E46"/>
    <w:rsid w:val="00236DC8"/>
    <w:rsid w:val="00240215"/>
    <w:rsid w:val="002444B0"/>
    <w:rsid w:val="002446E9"/>
    <w:rsid w:val="00246D36"/>
    <w:rsid w:val="0024752E"/>
    <w:rsid w:val="00254EB8"/>
    <w:rsid w:val="00262C5B"/>
    <w:rsid w:val="002633B7"/>
    <w:rsid w:val="00267194"/>
    <w:rsid w:val="0027073B"/>
    <w:rsid w:val="002722A0"/>
    <w:rsid w:val="002723E3"/>
    <w:rsid w:val="002740DF"/>
    <w:rsid w:val="0028339E"/>
    <w:rsid w:val="00283E3E"/>
    <w:rsid w:val="00286CF1"/>
    <w:rsid w:val="002877A9"/>
    <w:rsid w:val="00290A29"/>
    <w:rsid w:val="00294300"/>
    <w:rsid w:val="0029468B"/>
    <w:rsid w:val="00294A26"/>
    <w:rsid w:val="00294ACA"/>
    <w:rsid w:val="002A39B0"/>
    <w:rsid w:val="002A4AF1"/>
    <w:rsid w:val="002B1907"/>
    <w:rsid w:val="002B2E9F"/>
    <w:rsid w:val="002B6290"/>
    <w:rsid w:val="002C1405"/>
    <w:rsid w:val="002C2452"/>
    <w:rsid w:val="002C3F88"/>
    <w:rsid w:val="002D12DC"/>
    <w:rsid w:val="002D27F7"/>
    <w:rsid w:val="002D753E"/>
    <w:rsid w:val="002E1E56"/>
    <w:rsid w:val="002E4370"/>
    <w:rsid w:val="002E6B65"/>
    <w:rsid w:val="002E7671"/>
    <w:rsid w:val="002F14C6"/>
    <w:rsid w:val="002F4EA6"/>
    <w:rsid w:val="0030034B"/>
    <w:rsid w:val="00300641"/>
    <w:rsid w:val="00300A38"/>
    <w:rsid w:val="00300A74"/>
    <w:rsid w:val="00303F49"/>
    <w:rsid w:val="00305DB9"/>
    <w:rsid w:val="003063B8"/>
    <w:rsid w:val="00312539"/>
    <w:rsid w:val="00313321"/>
    <w:rsid w:val="00314F9E"/>
    <w:rsid w:val="00320B30"/>
    <w:rsid w:val="00321C3D"/>
    <w:rsid w:val="00322D2D"/>
    <w:rsid w:val="003266A9"/>
    <w:rsid w:val="003326A8"/>
    <w:rsid w:val="00333432"/>
    <w:rsid w:val="00333540"/>
    <w:rsid w:val="003461A6"/>
    <w:rsid w:val="003575A6"/>
    <w:rsid w:val="003601BE"/>
    <w:rsid w:val="00363C4B"/>
    <w:rsid w:val="00365453"/>
    <w:rsid w:val="003665D8"/>
    <w:rsid w:val="00366756"/>
    <w:rsid w:val="00367FEB"/>
    <w:rsid w:val="00367FEE"/>
    <w:rsid w:val="00377EC8"/>
    <w:rsid w:val="0039053E"/>
    <w:rsid w:val="003A43B8"/>
    <w:rsid w:val="003A7DB4"/>
    <w:rsid w:val="003B05AB"/>
    <w:rsid w:val="003B6C1E"/>
    <w:rsid w:val="003B7415"/>
    <w:rsid w:val="003C1A89"/>
    <w:rsid w:val="003D7EFB"/>
    <w:rsid w:val="003E00E4"/>
    <w:rsid w:val="003E3907"/>
    <w:rsid w:val="003E60E0"/>
    <w:rsid w:val="003E6402"/>
    <w:rsid w:val="003F4B1E"/>
    <w:rsid w:val="003F6196"/>
    <w:rsid w:val="00402452"/>
    <w:rsid w:val="0040439E"/>
    <w:rsid w:val="00405BDA"/>
    <w:rsid w:val="0040699D"/>
    <w:rsid w:val="004113DA"/>
    <w:rsid w:val="00412139"/>
    <w:rsid w:val="00415B04"/>
    <w:rsid w:val="00416D53"/>
    <w:rsid w:val="004216B3"/>
    <w:rsid w:val="00423D69"/>
    <w:rsid w:val="004257B6"/>
    <w:rsid w:val="00426422"/>
    <w:rsid w:val="00430DD2"/>
    <w:rsid w:val="00434917"/>
    <w:rsid w:val="00434D76"/>
    <w:rsid w:val="00435BF5"/>
    <w:rsid w:val="00436351"/>
    <w:rsid w:val="00442130"/>
    <w:rsid w:val="00447D22"/>
    <w:rsid w:val="00454004"/>
    <w:rsid w:val="00455431"/>
    <w:rsid w:val="0045577A"/>
    <w:rsid w:val="00455C6E"/>
    <w:rsid w:val="004607E1"/>
    <w:rsid w:val="00460DE1"/>
    <w:rsid w:val="0046119D"/>
    <w:rsid w:val="00465964"/>
    <w:rsid w:val="00466C37"/>
    <w:rsid w:val="00466D02"/>
    <w:rsid w:val="00477C92"/>
    <w:rsid w:val="004801C2"/>
    <w:rsid w:val="00482685"/>
    <w:rsid w:val="00482C18"/>
    <w:rsid w:val="00483214"/>
    <w:rsid w:val="00491D58"/>
    <w:rsid w:val="00492058"/>
    <w:rsid w:val="00494509"/>
    <w:rsid w:val="004946C8"/>
    <w:rsid w:val="00497DA5"/>
    <w:rsid w:val="004A0CA4"/>
    <w:rsid w:val="004A12B0"/>
    <w:rsid w:val="004A30B4"/>
    <w:rsid w:val="004A4834"/>
    <w:rsid w:val="004A5F2B"/>
    <w:rsid w:val="004B3BC3"/>
    <w:rsid w:val="004B4474"/>
    <w:rsid w:val="004B5033"/>
    <w:rsid w:val="004B6B31"/>
    <w:rsid w:val="004C11BE"/>
    <w:rsid w:val="004C2878"/>
    <w:rsid w:val="004D0A72"/>
    <w:rsid w:val="004D0E1A"/>
    <w:rsid w:val="004D4790"/>
    <w:rsid w:val="004D4F8F"/>
    <w:rsid w:val="004D5FF8"/>
    <w:rsid w:val="004D6D2F"/>
    <w:rsid w:val="004D737D"/>
    <w:rsid w:val="004E1946"/>
    <w:rsid w:val="004E795C"/>
    <w:rsid w:val="004F122C"/>
    <w:rsid w:val="004F3A6D"/>
    <w:rsid w:val="004F6033"/>
    <w:rsid w:val="00500D16"/>
    <w:rsid w:val="0050450E"/>
    <w:rsid w:val="00506A1D"/>
    <w:rsid w:val="00506F48"/>
    <w:rsid w:val="00507469"/>
    <w:rsid w:val="00514702"/>
    <w:rsid w:val="00520B5C"/>
    <w:rsid w:val="005213E5"/>
    <w:rsid w:val="00521C53"/>
    <w:rsid w:val="005265B6"/>
    <w:rsid w:val="00526645"/>
    <w:rsid w:val="0053069F"/>
    <w:rsid w:val="00534371"/>
    <w:rsid w:val="005378D6"/>
    <w:rsid w:val="005407D1"/>
    <w:rsid w:val="00541BB2"/>
    <w:rsid w:val="00547DE8"/>
    <w:rsid w:val="00547F7C"/>
    <w:rsid w:val="0055174F"/>
    <w:rsid w:val="00553E18"/>
    <w:rsid w:val="00556FEA"/>
    <w:rsid w:val="00562D37"/>
    <w:rsid w:val="005661AE"/>
    <w:rsid w:val="005672FC"/>
    <w:rsid w:val="005717CC"/>
    <w:rsid w:val="005737E8"/>
    <w:rsid w:val="00577254"/>
    <w:rsid w:val="0058396D"/>
    <w:rsid w:val="00583A89"/>
    <w:rsid w:val="00583F75"/>
    <w:rsid w:val="00591D1C"/>
    <w:rsid w:val="00591D8F"/>
    <w:rsid w:val="005922FD"/>
    <w:rsid w:val="005940DF"/>
    <w:rsid w:val="00595AC7"/>
    <w:rsid w:val="005A01C1"/>
    <w:rsid w:val="005A3869"/>
    <w:rsid w:val="005B2738"/>
    <w:rsid w:val="005B5F8F"/>
    <w:rsid w:val="005C08D8"/>
    <w:rsid w:val="005C0ACC"/>
    <w:rsid w:val="005C2E87"/>
    <w:rsid w:val="005D27E9"/>
    <w:rsid w:val="005D4BCF"/>
    <w:rsid w:val="005D70F7"/>
    <w:rsid w:val="005E0E5D"/>
    <w:rsid w:val="005F5DB6"/>
    <w:rsid w:val="005F7D22"/>
    <w:rsid w:val="00601608"/>
    <w:rsid w:val="00604B8B"/>
    <w:rsid w:val="00604E73"/>
    <w:rsid w:val="00624588"/>
    <w:rsid w:val="00631AD7"/>
    <w:rsid w:val="00635072"/>
    <w:rsid w:val="00635C1B"/>
    <w:rsid w:val="00640AB6"/>
    <w:rsid w:val="00640B2B"/>
    <w:rsid w:val="0065397B"/>
    <w:rsid w:val="00656D16"/>
    <w:rsid w:val="006717FB"/>
    <w:rsid w:val="006728D8"/>
    <w:rsid w:val="006744AF"/>
    <w:rsid w:val="006803B3"/>
    <w:rsid w:val="00684038"/>
    <w:rsid w:val="006951BF"/>
    <w:rsid w:val="00695C38"/>
    <w:rsid w:val="006A63E3"/>
    <w:rsid w:val="006A7FA1"/>
    <w:rsid w:val="006B0FE1"/>
    <w:rsid w:val="006B22C9"/>
    <w:rsid w:val="006B7D44"/>
    <w:rsid w:val="006D7132"/>
    <w:rsid w:val="006D7739"/>
    <w:rsid w:val="006D7E2D"/>
    <w:rsid w:val="006E46A5"/>
    <w:rsid w:val="006E6C0E"/>
    <w:rsid w:val="006E7F18"/>
    <w:rsid w:val="006F0A0F"/>
    <w:rsid w:val="006F3F27"/>
    <w:rsid w:val="00702880"/>
    <w:rsid w:val="007036A7"/>
    <w:rsid w:val="0070683F"/>
    <w:rsid w:val="007117B6"/>
    <w:rsid w:val="00715987"/>
    <w:rsid w:val="00716D1A"/>
    <w:rsid w:val="00722E00"/>
    <w:rsid w:val="00723832"/>
    <w:rsid w:val="00726E47"/>
    <w:rsid w:val="00727F43"/>
    <w:rsid w:val="007308E7"/>
    <w:rsid w:val="0073093A"/>
    <w:rsid w:val="00730CFF"/>
    <w:rsid w:val="00731F30"/>
    <w:rsid w:val="00734929"/>
    <w:rsid w:val="00735DE6"/>
    <w:rsid w:val="007376D0"/>
    <w:rsid w:val="00737C22"/>
    <w:rsid w:val="00746202"/>
    <w:rsid w:val="007513B6"/>
    <w:rsid w:val="00751B07"/>
    <w:rsid w:val="00752633"/>
    <w:rsid w:val="0076318C"/>
    <w:rsid w:val="007646DE"/>
    <w:rsid w:val="00767B96"/>
    <w:rsid w:val="00774CCA"/>
    <w:rsid w:val="00775D95"/>
    <w:rsid w:val="00780DC3"/>
    <w:rsid w:val="007926E8"/>
    <w:rsid w:val="007A684E"/>
    <w:rsid w:val="007B17C4"/>
    <w:rsid w:val="007B1B0B"/>
    <w:rsid w:val="007B3EBB"/>
    <w:rsid w:val="007B4ABF"/>
    <w:rsid w:val="007C05FD"/>
    <w:rsid w:val="007C23A9"/>
    <w:rsid w:val="007C2944"/>
    <w:rsid w:val="007C734D"/>
    <w:rsid w:val="007C7F4A"/>
    <w:rsid w:val="007D21CA"/>
    <w:rsid w:val="007D5F6D"/>
    <w:rsid w:val="007E3806"/>
    <w:rsid w:val="007E6857"/>
    <w:rsid w:val="007F269D"/>
    <w:rsid w:val="007F5CA9"/>
    <w:rsid w:val="007F6F2A"/>
    <w:rsid w:val="008034B0"/>
    <w:rsid w:val="00807421"/>
    <w:rsid w:val="0081584E"/>
    <w:rsid w:val="00821212"/>
    <w:rsid w:val="0082148E"/>
    <w:rsid w:val="00822A41"/>
    <w:rsid w:val="00825CB4"/>
    <w:rsid w:val="008303A6"/>
    <w:rsid w:val="00834AD8"/>
    <w:rsid w:val="0083562E"/>
    <w:rsid w:val="008364F4"/>
    <w:rsid w:val="00836AC4"/>
    <w:rsid w:val="00846053"/>
    <w:rsid w:val="008515BE"/>
    <w:rsid w:val="00854F28"/>
    <w:rsid w:val="008578FD"/>
    <w:rsid w:val="00864B11"/>
    <w:rsid w:val="0086674A"/>
    <w:rsid w:val="00867882"/>
    <w:rsid w:val="0087272A"/>
    <w:rsid w:val="008735DB"/>
    <w:rsid w:val="008777F9"/>
    <w:rsid w:val="00884944"/>
    <w:rsid w:val="0088723A"/>
    <w:rsid w:val="008969D2"/>
    <w:rsid w:val="008A6FDA"/>
    <w:rsid w:val="008B0C8F"/>
    <w:rsid w:val="008B13DE"/>
    <w:rsid w:val="008B5EA4"/>
    <w:rsid w:val="008C1360"/>
    <w:rsid w:val="008C33D9"/>
    <w:rsid w:val="008C4BC3"/>
    <w:rsid w:val="008C5421"/>
    <w:rsid w:val="008C5CDB"/>
    <w:rsid w:val="008C7CB7"/>
    <w:rsid w:val="008C7EEB"/>
    <w:rsid w:val="008D06A8"/>
    <w:rsid w:val="008E32B7"/>
    <w:rsid w:val="008E4099"/>
    <w:rsid w:val="008E4F1C"/>
    <w:rsid w:val="008E6AFB"/>
    <w:rsid w:val="008F232F"/>
    <w:rsid w:val="008F31F4"/>
    <w:rsid w:val="008F5EB3"/>
    <w:rsid w:val="009036DC"/>
    <w:rsid w:val="009108C7"/>
    <w:rsid w:val="00911B0D"/>
    <w:rsid w:val="009247DC"/>
    <w:rsid w:val="009264A1"/>
    <w:rsid w:val="009354E3"/>
    <w:rsid w:val="00936AED"/>
    <w:rsid w:val="00940649"/>
    <w:rsid w:val="00951BF5"/>
    <w:rsid w:val="0095256F"/>
    <w:rsid w:val="00955217"/>
    <w:rsid w:val="00960001"/>
    <w:rsid w:val="00960E2A"/>
    <w:rsid w:val="00961F3C"/>
    <w:rsid w:val="0096559F"/>
    <w:rsid w:val="0097316A"/>
    <w:rsid w:val="00976322"/>
    <w:rsid w:val="00977F46"/>
    <w:rsid w:val="00984C94"/>
    <w:rsid w:val="00986707"/>
    <w:rsid w:val="00994056"/>
    <w:rsid w:val="00994885"/>
    <w:rsid w:val="00996576"/>
    <w:rsid w:val="009A487A"/>
    <w:rsid w:val="009A5866"/>
    <w:rsid w:val="009B3AA9"/>
    <w:rsid w:val="009B4461"/>
    <w:rsid w:val="009B533E"/>
    <w:rsid w:val="009B6F55"/>
    <w:rsid w:val="009B7CE2"/>
    <w:rsid w:val="009C014F"/>
    <w:rsid w:val="009C0F30"/>
    <w:rsid w:val="009C1FB3"/>
    <w:rsid w:val="009C698A"/>
    <w:rsid w:val="009C6A9F"/>
    <w:rsid w:val="009D0621"/>
    <w:rsid w:val="009D54A3"/>
    <w:rsid w:val="009D7B4F"/>
    <w:rsid w:val="009E16C4"/>
    <w:rsid w:val="009E3549"/>
    <w:rsid w:val="009E3973"/>
    <w:rsid w:val="009E4F17"/>
    <w:rsid w:val="009E503E"/>
    <w:rsid w:val="009F373A"/>
    <w:rsid w:val="009F477E"/>
    <w:rsid w:val="009F4BC2"/>
    <w:rsid w:val="009F641D"/>
    <w:rsid w:val="009F7C86"/>
    <w:rsid w:val="00A01E69"/>
    <w:rsid w:val="00A027A2"/>
    <w:rsid w:val="00A03EF4"/>
    <w:rsid w:val="00A04EC5"/>
    <w:rsid w:val="00A07B68"/>
    <w:rsid w:val="00A12E34"/>
    <w:rsid w:val="00A20D0D"/>
    <w:rsid w:val="00A219EC"/>
    <w:rsid w:val="00A2736D"/>
    <w:rsid w:val="00A3508C"/>
    <w:rsid w:val="00A369CD"/>
    <w:rsid w:val="00A36D25"/>
    <w:rsid w:val="00A464C6"/>
    <w:rsid w:val="00A47800"/>
    <w:rsid w:val="00A51F97"/>
    <w:rsid w:val="00A53840"/>
    <w:rsid w:val="00A56C65"/>
    <w:rsid w:val="00A64D25"/>
    <w:rsid w:val="00A664D1"/>
    <w:rsid w:val="00A67FFC"/>
    <w:rsid w:val="00A70E41"/>
    <w:rsid w:val="00A713ED"/>
    <w:rsid w:val="00A73612"/>
    <w:rsid w:val="00A744A3"/>
    <w:rsid w:val="00A76026"/>
    <w:rsid w:val="00A8153C"/>
    <w:rsid w:val="00A8460F"/>
    <w:rsid w:val="00A86065"/>
    <w:rsid w:val="00A864BA"/>
    <w:rsid w:val="00A95AE2"/>
    <w:rsid w:val="00A95FD2"/>
    <w:rsid w:val="00A96F0F"/>
    <w:rsid w:val="00AA3BC3"/>
    <w:rsid w:val="00AA472D"/>
    <w:rsid w:val="00AB1366"/>
    <w:rsid w:val="00AB1B27"/>
    <w:rsid w:val="00AB1EA8"/>
    <w:rsid w:val="00AB41F9"/>
    <w:rsid w:val="00AB44F3"/>
    <w:rsid w:val="00AB7BBF"/>
    <w:rsid w:val="00AC32F6"/>
    <w:rsid w:val="00AC35DA"/>
    <w:rsid w:val="00AC4B30"/>
    <w:rsid w:val="00AC51DC"/>
    <w:rsid w:val="00AC5881"/>
    <w:rsid w:val="00AC6A72"/>
    <w:rsid w:val="00AC7D66"/>
    <w:rsid w:val="00AD0C01"/>
    <w:rsid w:val="00AE5BC0"/>
    <w:rsid w:val="00AE7E9C"/>
    <w:rsid w:val="00AF10B1"/>
    <w:rsid w:val="00AF75EB"/>
    <w:rsid w:val="00B053B3"/>
    <w:rsid w:val="00B053D8"/>
    <w:rsid w:val="00B06979"/>
    <w:rsid w:val="00B10D75"/>
    <w:rsid w:val="00B13E96"/>
    <w:rsid w:val="00B14050"/>
    <w:rsid w:val="00B15132"/>
    <w:rsid w:val="00B15A6A"/>
    <w:rsid w:val="00B21C3B"/>
    <w:rsid w:val="00B2350C"/>
    <w:rsid w:val="00B307F4"/>
    <w:rsid w:val="00B355DA"/>
    <w:rsid w:val="00B361C1"/>
    <w:rsid w:val="00B40C33"/>
    <w:rsid w:val="00B40F11"/>
    <w:rsid w:val="00B4258D"/>
    <w:rsid w:val="00B45FDF"/>
    <w:rsid w:val="00B5101B"/>
    <w:rsid w:val="00B57588"/>
    <w:rsid w:val="00B6510F"/>
    <w:rsid w:val="00B66D65"/>
    <w:rsid w:val="00B73237"/>
    <w:rsid w:val="00B748DB"/>
    <w:rsid w:val="00B96833"/>
    <w:rsid w:val="00B97881"/>
    <w:rsid w:val="00BA3050"/>
    <w:rsid w:val="00BA3095"/>
    <w:rsid w:val="00BC50DE"/>
    <w:rsid w:val="00BC6540"/>
    <w:rsid w:val="00BD0A4D"/>
    <w:rsid w:val="00BD476C"/>
    <w:rsid w:val="00BD5AFF"/>
    <w:rsid w:val="00BE7A9F"/>
    <w:rsid w:val="00BE7B1D"/>
    <w:rsid w:val="00BF38AB"/>
    <w:rsid w:val="00BF46D9"/>
    <w:rsid w:val="00BF4BC6"/>
    <w:rsid w:val="00BF5D4C"/>
    <w:rsid w:val="00C01969"/>
    <w:rsid w:val="00C040E6"/>
    <w:rsid w:val="00C07B44"/>
    <w:rsid w:val="00C10431"/>
    <w:rsid w:val="00C14B14"/>
    <w:rsid w:val="00C16CF4"/>
    <w:rsid w:val="00C24622"/>
    <w:rsid w:val="00C27254"/>
    <w:rsid w:val="00C335D9"/>
    <w:rsid w:val="00C34C56"/>
    <w:rsid w:val="00C35CFC"/>
    <w:rsid w:val="00C4235C"/>
    <w:rsid w:val="00C44AAD"/>
    <w:rsid w:val="00C46B8A"/>
    <w:rsid w:val="00C5546F"/>
    <w:rsid w:val="00C61C53"/>
    <w:rsid w:val="00C652C7"/>
    <w:rsid w:val="00C65E63"/>
    <w:rsid w:val="00C70EE9"/>
    <w:rsid w:val="00C70F5C"/>
    <w:rsid w:val="00C71AD7"/>
    <w:rsid w:val="00C7484E"/>
    <w:rsid w:val="00C74B34"/>
    <w:rsid w:val="00C74EF0"/>
    <w:rsid w:val="00C772EA"/>
    <w:rsid w:val="00C77346"/>
    <w:rsid w:val="00C80A46"/>
    <w:rsid w:val="00C82C8E"/>
    <w:rsid w:val="00C86797"/>
    <w:rsid w:val="00C8764E"/>
    <w:rsid w:val="00C905DC"/>
    <w:rsid w:val="00C922F5"/>
    <w:rsid w:val="00C95FA6"/>
    <w:rsid w:val="00C97236"/>
    <w:rsid w:val="00C97F2E"/>
    <w:rsid w:val="00CA2E0A"/>
    <w:rsid w:val="00CA3321"/>
    <w:rsid w:val="00CA5108"/>
    <w:rsid w:val="00CA78FE"/>
    <w:rsid w:val="00CB22BB"/>
    <w:rsid w:val="00CB2B1B"/>
    <w:rsid w:val="00CC3164"/>
    <w:rsid w:val="00CC5436"/>
    <w:rsid w:val="00CD1002"/>
    <w:rsid w:val="00CD120C"/>
    <w:rsid w:val="00CD3351"/>
    <w:rsid w:val="00CD3917"/>
    <w:rsid w:val="00CD4F11"/>
    <w:rsid w:val="00CD5CC3"/>
    <w:rsid w:val="00CE1930"/>
    <w:rsid w:val="00CE4EE1"/>
    <w:rsid w:val="00CF1BEE"/>
    <w:rsid w:val="00D00255"/>
    <w:rsid w:val="00D01069"/>
    <w:rsid w:val="00D029F9"/>
    <w:rsid w:val="00D03257"/>
    <w:rsid w:val="00D037E0"/>
    <w:rsid w:val="00D0423A"/>
    <w:rsid w:val="00D05557"/>
    <w:rsid w:val="00D12030"/>
    <w:rsid w:val="00D16B4F"/>
    <w:rsid w:val="00D21FA5"/>
    <w:rsid w:val="00D2220F"/>
    <w:rsid w:val="00D25ABC"/>
    <w:rsid w:val="00D263AF"/>
    <w:rsid w:val="00D26414"/>
    <w:rsid w:val="00D314D7"/>
    <w:rsid w:val="00D33A4D"/>
    <w:rsid w:val="00D3447D"/>
    <w:rsid w:val="00D3503E"/>
    <w:rsid w:val="00D3582F"/>
    <w:rsid w:val="00D36A15"/>
    <w:rsid w:val="00D36B50"/>
    <w:rsid w:val="00D40EA8"/>
    <w:rsid w:val="00D46468"/>
    <w:rsid w:val="00D466BC"/>
    <w:rsid w:val="00D47875"/>
    <w:rsid w:val="00D541BB"/>
    <w:rsid w:val="00D555DD"/>
    <w:rsid w:val="00D56B7C"/>
    <w:rsid w:val="00D622DE"/>
    <w:rsid w:val="00D6401D"/>
    <w:rsid w:val="00D66F1F"/>
    <w:rsid w:val="00D74012"/>
    <w:rsid w:val="00D77CF8"/>
    <w:rsid w:val="00D82068"/>
    <w:rsid w:val="00D85D3B"/>
    <w:rsid w:val="00D90A9A"/>
    <w:rsid w:val="00D922D5"/>
    <w:rsid w:val="00D927F4"/>
    <w:rsid w:val="00D93FAF"/>
    <w:rsid w:val="00D950F0"/>
    <w:rsid w:val="00D95F75"/>
    <w:rsid w:val="00D979B7"/>
    <w:rsid w:val="00DA0426"/>
    <w:rsid w:val="00DA2881"/>
    <w:rsid w:val="00DA3907"/>
    <w:rsid w:val="00DA44D1"/>
    <w:rsid w:val="00DA7DB9"/>
    <w:rsid w:val="00DB3D19"/>
    <w:rsid w:val="00DB60D8"/>
    <w:rsid w:val="00DB7D37"/>
    <w:rsid w:val="00DC0E52"/>
    <w:rsid w:val="00DC4EE5"/>
    <w:rsid w:val="00DC6948"/>
    <w:rsid w:val="00DD0695"/>
    <w:rsid w:val="00DD094B"/>
    <w:rsid w:val="00DD329E"/>
    <w:rsid w:val="00DD7000"/>
    <w:rsid w:val="00DE1044"/>
    <w:rsid w:val="00DE38F9"/>
    <w:rsid w:val="00DE7026"/>
    <w:rsid w:val="00DF1AC1"/>
    <w:rsid w:val="00DF1AEF"/>
    <w:rsid w:val="00DF7101"/>
    <w:rsid w:val="00E004D1"/>
    <w:rsid w:val="00E00506"/>
    <w:rsid w:val="00E01C88"/>
    <w:rsid w:val="00E10A9D"/>
    <w:rsid w:val="00E1146F"/>
    <w:rsid w:val="00E14A03"/>
    <w:rsid w:val="00E1562A"/>
    <w:rsid w:val="00E168F4"/>
    <w:rsid w:val="00E22F47"/>
    <w:rsid w:val="00E238E8"/>
    <w:rsid w:val="00E37165"/>
    <w:rsid w:val="00E37643"/>
    <w:rsid w:val="00E41933"/>
    <w:rsid w:val="00E43D93"/>
    <w:rsid w:val="00E475F2"/>
    <w:rsid w:val="00E5255A"/>
    <w:rsid w:val="00E55654"/>
    <w:rsid w:val="00E56FC4"/>
    <w:rsid w:val="00E577A9"/>
    <w:rsid w:val="00E61EC0"/>
    <w:rsid w:val="00E64C9E"/>
    <w:rsid w:val="00E64F8B"/>
    <w:rsid w:val="00E70021"/>
    <w:rsid w:val="00E70256"/>
    <w:rsid w:val="00E73B17"/>
    <w:rsid w:val="00E76A7A"/>
    <w:rsid w:val="00E859FC"/>
    <w:rsid w:val="00E87A6A"/>
    <w:rsid w:val="00E92410"/>
    <w:rsid w:val="00E94E95"/>
    <w:rsid w:val="00EA072C"/>
    <w:rsid w:val="00EA1A76"/>
    <w:rsid w:val="00EA49FA"/>
    <w:rsid w:val="00EA7D2C"/>
    <w:rsid w:val="00EB76F9"/>
    <w:rsid w:val="00EC19DF"/>
    <w:rsid w:val="00EC203F"/>
    <w:rsid w:val="00EC24ED"/>
    <w:rsid w:val="00EC2EAE"/>
    <w:rsid w:val="00EC313F"/>
    <w:rsid w:val="00EC3508"/>
    <w:rsid w:val="00EC7638"/>
    <w:rsid w:val="00ED505A"/>
    <w:rsid w:val="00ED6ABB"/>
    <w:rsid w:val="00EE5076"/>
    <w:rsid w:val="00EE7B23"/>
    <w:rsid w:val="00EF7E5A"/>
    <w:rsid w:val="00F005C5"/>
    <w:rsid w:val="00F05B60"/>
    <w:rsid w:val="00F129F2"/>
    <w:rsid w:val="00F13B7B"/>
    <w:rsid w:val="00F15D97"/>
    <w:rsid w:val="00F20688"/>
    <w:rsid w:val="00F22FC0"/>
    <w:rsid w:val="00F23213"/>
    <w:rsid w:val="00F248BA"/>
    <w:rsid w:val="00F27ECE"/>
    <w:rsid w:val="00F3381F"/>
    <w:rsid w:val="00F350DA"/>
    <w:rsid w:val="00F35D52"/>
    <w:rsid w:val="00F36668"/>
    <w:rsid w:val="00F40183"/>
    <w:rsid w:val="00F4346E"/>
    <w:rsid w:val="00F505E2"/>
    <w:rsid w:val="00F5075E"/>
    <w:rsid w:val="00F50949"/>
    <w:rsid w:val="00F5362D"/>
    <w:rsid w:val="00F540B2"/>
    <w:rsid w:val="00F56119"/>
    <w:rsid w:val="00F57638"/>
    <w:rsid w:val="00F611F6"/>
    <w:rsid w:val="00F615EC"/>
    <w:rsid w:val="00F64659"/>
    <w:rsid w:val="00F7135E"/>
    <w:rsid w:val="00F716D5"/>
    <w:rsid w:val="00F74512"/>
    <w:rsid w:val="00F76080"/>
    <w:rsid w:val="00F77209"/>
    <w:rsid w:val="00F81E6D"/>
    <w:rsid w:val="00F86703"/>
    <w:rsid w:val="00F93F15"/>
    <w:rsid w:val="00F96BEB"/>
    <w:rsid w:val="00FB0308"/>
    <w:rsid w:val="00FB4107"/>
    <w:rsid w:val="00FB55BB"/>
    <w:rsid w:val="00FB7799"/>
    <w:rsid w:val="00FD3BD5"/>
    <w:rsid w:val="00FD721E"/>
    <w:rsid w:val="00FE0D4A"/>
    <w:rsid w:val="00FE3627"/>
    <w:rsid w:val="00FE4620"/>
    <w:rsid w:val="00FF2549"/>
    <w:rsid w:val="00FF4460"/>
    <w:rsid w:val="00FF795F"/>
    <w:rsid w:val="00FF7BD3"/>
    <w:rsid w:val="00FF7EC0"/>
    <w:rsid w:val="08C97AAC"/>
    <w:rsid w:val="09933911"/>
    <w:rsid w:val="0C3F315B"/>
    <w:rsid w:val="199F38AA"/>
    <w:rsid w:val="1A737605"/>
    <w:rsid w:val="1E356F5F"/>
    <w:rsid w:val="247F7838"/>
    <w:rsid w:val="35BD1828"/>
    <w:rsid w:val="386F6F5E"/>
    <w:rsid w:val="3CC83FB6"/>
    <w:rsid w:val="438E6F63"/>
    <w:rsid w:val="4D8665AB"/>
    <w:rsid w:val="531822F6"/>
    <w:rsid w:val="53BA1CA9"/>
    <w:rsid w:val="61C123FB"/>
    <w:rsid w:val="62682E70"/>
    <w:rsid w:val="6A43190A"/>
    <w:rsid w:val="751A6810"/>
    <w:rsid w:val="75504EDB"/>
    <w:rsid w:val="7B8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30C"/>
  <w15:docId w15:val="{5C51552B-2FE0-4BAD-A6B3-49002C8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unhideWhenUsed="1" w:qFormat="1"/>
    <w:lsdException w:name="heading 6" w:uiPriority="9" w:unhideWhenUsed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clear" w:pos="2880"/>
        <w:tab w:val="left" w:pos="426"/>
      </w:tabs>
      <w:spacing w:after="0" w:line="240" w:lineRule="auto"/>
      <w:ind w:left="567"/>
      <w:outlineLvl w:val="0"/>
    </w:pPr>
    <w:rPr>
      <w:rFonts w:asciiTheme="majorHAnsi" w:eastAsia="Times New Roman" w:hAnsiTheme="majorHAnsi" w:cs="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2"/>
      </w:numPr>
      <w:spacing w:after="0" w:line="240" w:lineRule="auto"/>
      <w:outlineLvl w:val="1"/>
    </w:pPr>
    <w:rPr>
      <w:rFonts w:asciiTheme="majorHAnsi" w:eastAsia="Times New Roman" w:hAnsiTheme="majorHAnsi" w:cs="Times New Roman"/>
      <w:b/>
      <w:bCs/>
      <w:i/>
      <w:iCs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1"/>
        <w:numId w:val="3"/>
      </w:numPr>
      <w:spacing w:after="0" w:line="240" w:lineRule="auto"/>
      <w:jc w:val="center"/>
      <w:outlineLvl w:val="2"/>
    </w:pPr>
    <w:rPr>
      <w:rFonts w:asciiTheme="majorHAnsi" w:eastAsia="Times New Roman" w:hAnsiTheme="majorHAnsi" w:cs="Times New Roman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ind w:left="1428" w:hanging="720"/>
      <w:jc w:val="both"/>
      <w:outlineLvl w:val="3"/>
    </w:pPr>
    <w:rPr>
      <w:rFonts w:asciiTheme="majorHAnsi" w:eastAsia="Times New Roman" w:hAnsiTheme="majorHAnsi" w:cs="Times New Roman"/>
      <w:b/>
      <w:i/>
      <w:iCs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2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qFormat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78">
    <w:name w:val="xl7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79">
    <w:name w:val="xl79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80">
    <w:name w:val="xl8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81">
    <w:name w:val="xl81"/>
    <w:basedOn w:val="Normal"/>
    <w:qFormat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82">
    <w:name w:val="xl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83">
    <w:name w:val="xl83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84">
    <w:name w:val="xl84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00"/>
      <w:sz w:val="28"/>
      <w:szCs w:val="28"/>
      <w:lang w:eastAsia="hr-HR"/>
    </w:rPr>
  </w:style>
  <w:style w:type="paragraph" w:customStyle="1" w:styleId="xl85">
    <w:name w:val="xl85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91">
    <w:name w:val="xl91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18"/>
      <w:szCs w:val="18"/>
      <w:lang w:eastAsia="hr-HR"/>
    </w:rPr>
  </w:style>
  <w:style w:type="paragraph" w:customStyle="1" w:styleId="xl92">
    <w:name w:val="xl92"/>
    <w:basedOn w:val="Normal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93">
    <w:name w:val="xl93"/>
    <w:basedOn w:val="Normal"/>
    <w:qFormat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94">
    <w:name w:val="xl94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95">
    <w:name w:val="xl95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96">
    <w:name w:val="xl96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99">
    <w:name w:val="xl9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02">
    <w:name w:val="xl10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03">
    <w:name w:val="xl103"/>
    <w:basedOn w:val="Normal"/>
    <w:qFormat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04">
    <w:name w:val="xl104"/>
    <w:basedOn w:val="Normal"/>
    <w:qFormat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05">
    <w:name w:val="xl10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06">
    <w:name w:val="xl10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08">
    <w:name w:val="xl10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3300"/>
      <w:sz w:val="18"/>
      <w:szCs w:val="18"/>
      <w:lang w:eastAsia="hr-HR"/>
    </w:rPr>
  </w:style>
  <w:style w:type="paragraph" w:customStyle="1" w:styleId="xl109">
    <w:name w:val="xl10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3300"/>
      <w:sz w:val="18"/>
      <w:szCs w:val="18"/>
      <w:lang w:eastAsia="hr-HR"/>
    </w:rPr>
  </w:style>
  <w:style w:type="paragraph" w:customStyle="1" w:styleId="xl110">
    <w:name w:val="xl11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3300"/>
      <w:sz w:val="18"/>
      <w:szCs w:val="18"/>
      <w:lang w:eastAsia="hr-HR"/>
    </w:rPr>
  </w:style>
  <w:style w:type="paragraph" w:customStyle="1" w:styleId="xl111">
    <w:name w:val="xl111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24"/>
      <w:szCs w:val="24"/>
      <w:lang w:eastAsia="hr-HR"/>
    </w:rPr>
  </w:style>
  <w:style w:type="paragraph" w:customStyle="1" w:styleId="xl112">
    <w:name w:val="xl11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13">
    <w:name w:val="xl11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14">
    <w:name w:val="xl11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15">
    <w:name w:val="xl115"/>
    <w:basedOn w:val="Normal"/>
    <w:qFormat/>
    <w:pPr>
      <w:pBdr>
        <w:top w:val="single" w:sz="4" w:space="0" w:color="auto"/>
        <w:bottom w:val="single" w:sz="4" w:space="0" w:color="auto"/>
      </w:pBdr>
      <w:shd w:val="clear" w:color="000000" w:fill="E7EF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16">
    <w:name w:val="xl11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17">
    <w:name w:val="xl11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bottom w:val="single" w:sz="4" w:space="0" w:color="auto"/>
      </w:pBdr>
      <w:shd w:val="clear" w:color="000000" w:fill="E7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0">
    <w:name w:val="xl12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2">
    <w:name w:val="xl1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3">
    <w:name w:val="xl12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F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29">
    <w:name w:val="xl129"/>
    <w:basedOn w:val="Normal"/>
    <w:qFormat/>
    <w:pPr>
      <w:pBdr>
        <w:top w:val="single" w:sz="4" w:space="0" w:color="auto"/>
        <w:bottom w:val="single" w:sz="4" w:space="0" w:color="auto"/>
      </w:pBdr>
      <w:shd w:val="clear" w:color="000000" w:fill="E7EF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0">
    <w:name w:val="xl130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1">
    <w:name w:val="xl1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2">
    <w:name w:val="xl13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3">
    <w:name w:val="xl133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5">
    <w:name w:val="xl1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6">
    <w:name w:val="xl13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7">
    <w:name w:val="xl13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8">
    <w:name w:val="xl13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39">
    <w:name w:val="xl1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40">
    <w:name w:val="xl1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41">
    <w:name w:val="xl14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42">
    <w:name w:val="xl14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43">
    <w:name w:val="xl14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45">
    <w:name w:val="xl1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46">
    <w:name w:val="xl14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47">
    <w:name w:val="xl1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48">
    <w:name w:val="xl14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49">
    <w:name w:val="xl14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3300"/>
      <w:sz w:val="18"/>
      <w:szCs w:val="18"/>
      <w:lang w:eastAsia="hr-HR"/>
    </w:rPr>
  </w:style>
  <w:style w:type="paragraph" w:customStyle="1" w:styleId="xl150">
    <w:name w:val="xl15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51">
    <w:name w:val="xl15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52">
    <w:name w:val="xl15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53">
    <w:name w:val="xl15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54">
    <w:name w:val="xl15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55">
    <w:name w:val="xl15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FF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56">
    <w:name w:val="xl15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57">
    <w:name w:val="xl157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58">
    <w:name w:val="xl15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3300"/>
      <w:sz w:val="18"/>
      <w:szCs w:val="18"/>
      <w:lang w:eastAsia="hr-HR"/>
    </w:rPr>
  </w:style>
  <w:style w:type="paragraph" w:customStyle="1" w:styleId="xl159">
    <w:name w:val="xl15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8FD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60">
    <w:name w:val="xl160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61">
    <w:name w:val="xl16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3300"/>
      <w:sz w:val="18"/>
      <w:szCs w:val="18"/>
      <w:lang w:eastAsia="hr-HR"/>
    </w:rPr>
  </w:style>
  <w:style w:type="paragraph" w:customStyle="1" w:styleId="xl162">
    <w:name w:val="xl16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paragraph" w:customStyle="1" w:styleId="xl163">
    <w:name w:val="xl16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00"/>
      <w:sz w:val="26"/>
      <w:szCs w:val="26"/>
      <w:lang w:eastAsia="hr-HR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Times New Roman" w:hAnsiTheme="majorHAnsi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Times New Roman" w:hAnsiTheme="majorHAnsi" w:cs="Times New Roman"/>
      <w:b/>
      <w:bCs/>
      <w:i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="Times New Roman" w:hAnsiTheme="majorHAnsi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="Times New Roman" w:hAnsiTheme="majorHAnsi" w:cs="Times New Roman"/>
      <w:b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ajorHAnsi" w:eastAsia="Times New Roman" w:hAnsiTheme="majorHAnsi" w:cs="Times New Roman"/>
      <w:b/>
      <w:sz w:val="32"/>
      <w:lang w:eastAsia="hr-H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StilTablice">
    <w:name w:val="StilTablice"/>
    <w:basedOn w:val="TableNormal"/>
    <w:uiPriority w:val="99"/>
    <w:pPr>
      <w:spacing w:after="12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118E5-430D-41BA-8164-AB0C1D7B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1827</Words>
  <Characters>10418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Skarica</dc:creator>
  <cp:lastModifiedBy>Maja Rešić</cp:lastModifiedBy>
  <cp:revision>106</cp:revision>
  <cp:lastPrinted>2024-01-30T13:00:00Z</cp:lastPrinted>
  <dcterms:created xsi:type="dcterms:W3CDTF">2024-01-21T15:07:00Z</dcterms:created>
  <dcterms:modified xsi:type="dcterms:W3CDTF">2024-02-06T09:34:00Z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